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41632">
      <w:pPr>
        <w:bidi w:val="0"/>
        <w:jc w:val="center"/>
        <w:rPr>
          <w:rFonts w:hint="eastAsia"/>
          <w:b/>
          <w:bCs/>
          <w:sz w:val="52"/>
          <w:szCs w:val="52"/>
        </w:rPr>
      </w:pPr>
    </w:p>
    <w:p w14:paraId="364B4CDC">
      <w:pPr>
        <w:bidi w:val="0"/>
        <w:jc w:val="center"/>
        <w:rPr>
          <w:rFonts w:hint="eastAsia"/>
          <w:b/>
          <w:bCs/>
          <w:sz w:val="52"/>
          <w:szCs w:val="52"/>
        </w:rPr>
      </w:pPr>
    </w:p>
    <w:p w14:paraId="78B26348">
      <w:pPr>
        <w:bidi w:val="0"/>
        <w:jc w:val="center"/>
        <w:rPr>
          <w:rFonts w:hint="eastAsia"/>
          <w:b/>
          <w:bCs/>
          <w:sz w:val="52"/>
          <w:szCs w:val="52"/>
        </w:rPr>
      </w:pPr>
    </w:p>
    <w:p w14:paraId="3D0DA8DB">
      <w:pPr>
        <w:bidi w:val="0"/>
        <w:jc w:val="center"/>
        <w:rPr>
          <w:rFonts w:hint="eastAsia"/>
          <w:b/>
          <w:bCs/>
          <w:sz w:val="52"/>
          <w:szCs w:val="52"/>
        </w:rPr>
      </w:pPr>
    </w:p>
    <w:p w14:paraId="356FEF9B">
      <w:pPr>
        <w:bidi w:val="0"/>
        <w:jc w:val="center"/>
        <w:rPr>
          <w:rFonts w:hint="eastAsia"/>
          <w:b/>
          <w:bCs/>
          <w:sz w:val="52"/>
          <w:szCs w:val="52"/>
        </w:rPr>
      </w:pPr>
    </w:p>
    <w:p w14:paraId="01D169F5">
      <w:pPr>
        <w:bidi w:val="0"/>
        <w:jc w:val="center"/>
        <w:rPr>
          <w:rFonts w:hint="eastAsia"/>
          <w:b/>
          <w:bCs/>
          <w:sz w:val="52"/>
          <w:szCs w:val="52"/>
          <w:lang w:eastAsia="zh-CN"/>
        </w:rPr>
      </w:pPr>
      <w:bookmarkStart w:id="143" w:name="_GoBack"/>
      <w:bookmarkEnd w:id="143"/>
      <w:r>
        <w:rPr>
          <w:rFonts w:hint="eastAsia"/>
          <w:b/>
          <w:bCs/>
          <w:sz w:val="52"/>
          <w:szCs w:val="52"/>
        </w:rPr>
        <w:t>安全生产风险分级管控</w:t>
      </w:r>
      <w:r>
        <w:rPr>
          <w:rFonts w:hint="eastAsia"/>
          <w:b/>
          <w:bCs/>
          <w:sz w:val="52"/>
          <w:szCs w:val="52"/>
          <w:lang w:eastAsia="zh-CN"/>
        </w:rPr>
        <w:t>作业指导书</w:t>
      </w:r>
    </w:p>
    <w:p w14:paraId="0F81C345">
      <w:pPr>
        <w:pStyle w:val="25"/>
        <w:spacing w:before="78" w:after="78"/>
        <w:jc w:val="center"/>
        <w:rPr>
          <w:rFonts w:hint="eastAsia"/>
          <w:lang w:eastAsia="zh-CN"/>
        </w:rPr>
      </w:pPr>
      <w:bookmarkStart w:id="0" w:name="_Toc472947750"/>
      <w:bookmarkStart w:id="1" w:name="_Toc475021493"/>
    </w:p>
    <w:p w14:paraId="402D9827">
      <w:pPr>
        <w:pStyle w:val="25"/>
        <w:spacing w:before="78" w:after="78"/>
        <w:jc w:val="center"/>
        <w:rPr>
          <w:rFonts w:hint="eastAsia"/>
          <w:lang w:eastAsia="zh-CN"/>
        </w:rPr>
      </w:pPr>
    </w:p>
    <w:p w14:paraId="29B6F538">
      <w:pPr>
        <w:pStyle w:val="25"/>
        <w:spacing w:before="78" w:after="78"/>
        <w:jc w:val="center"/>
        <w:rPr>
          <w:rFonts w:hint="eastAsia"/>
          <w:lang w:eastAsia="zh-CN"/>
        </w:rPr>
      </w:pPr>
    </w:p>
    <w:p w14:paraId="6DE020B7">
      <w:pPr>
        <w:pStyle w:val="25"/>
        <w:spacing w:before="78" w:after="78"/>
        <w:jc w:val="center"/>
        <w:rPr>
          <w:rFonts w:hint="eastAsia"/>
          <w:lang w:eastAsia="zh-CN"/>
        </w:rPr>
      </w:pPr>
    </w:p>
    <w:p w14:paraId="1C70C13D">
      <w:pPr>
        <w:pStyle w:val="25"/>
        <w:spacing w:before="78" w:after="78"/>
        <w:jc w:val="center"/>
        <w:rPr>
          <w:rFonts w:hint="eastAsia"/>
          <w:lang w:eastAsia="zh-CN"/>
        </w:rPr>
      </w:pPr>
    </w:p>
    <w:p w14:paraId="197ADFF6">
      <w:pPr>
        <w:pStyle w:val="25"/>
        <w:spacing w:before="78" w:after="78"/>
        <w:jc w:val="center"/>
        <w:rPr>
          <w:rFonts w:hint="eastAsia"/>
          <w:lang w:eastAsia="zh-CN"/>
        </w:rPr>
      </w:pPr>
    </w:p>
    <w:p w14:paraId="386CA617">
      <w:pPr>
        <w:pStyle w:val="25"/>
        <w:spacing w:before="78" w:after="78"/>
        <w:jc w:val="center"/>
        <w:rPr>
          <w:rFonts w:hint="eastAsia"/>
          <w:lang w:eastAsia="zh-CN"/>
        </w:rPr>
      </w:pPr>
    </w:p>
    <w:p w14:paraId="1021E861">
      <w:pPr>
        <w:pStyle w:val="25"/>
        <w:spacing w:before="78" w:after="78"/>
        <w:jc w:val="center"/>
        <w:rPr>
          <w:rFonts w:hint="eastAsia"/>
          <w:lang w:eastAsia="zh-CN"/>
        </w:rPr>
      </w:pPr>
    </w:p>
    <w:p w14:paraId="7A828BD8">
      <w:pPr>
        <w:pStyle w:val="25"/>
        <w:spacing w:before="78" w:after="78"/>
        <w:jc w:val="center"/>
        <w:rPr>
          <w:rFonts w:hint="eastAsia"/>
          <w:lang w:eastAsia="zh-CN"/>
        </w:rPr>
      </w:pPr>
    </w:p>
    <w:p w14:paraId="25397814">
      <w:pPr>
        <w:pStyle w:val="25"/>
        <w:spacing w:before="78" w:after="78"/>
        <w:jc w:val="center"/>
        <w:rPr>
          <w:rFonts w:hint="eastAsia"/>
          <w:lang w:eastAsia="zh-CN"/>
        </w:rPr>
      </w:pPr>
    </w:p>
    <w:p w14:paraId="6FF63E3C">
      <w:pPr>
        <w:pStyle w:val="25"/>
        <w:spacing w:before="78" w:after="78"/>
        <w:jc w:val="center"/>
        <w:rPr>
          <w:rFonts w:hint="eastAsia"/>
          <w:lang w:eastAsia="zh-CN"/>
        </w:rPr>
      </w:pPr>
    </w:p>
    <w:p w14:paraId="470B0BB2">
      <w:pPr>
        <w:pStyle w:val="25"/>
        <w:spacing w:before="78" w:after="78"/>
        <w:jc w:val="center"/>
        <w:rPr>
          <w:rFonts w:hint="eastAsia"/>
          <w:lang w:eastAsia="zh-CN"/>
        </w:rPr>
      </w:pPr>
    </w:p>
    <w:p w14:paraId="7D7F5416">
      <w:pPr>
        <w:rPr>
          <w:rFonts w:hint="eastAsia"/>
          <w:lang w:eastAsia="zh-CN"/>
        </w:rPr>
      </w:pPr>
    </w:p>
    <w:p w14:paraId="06F918A3">
      <w:pPr>
        <w:rPr>
          <w:rFonts w:hint="eastAsia"/>
          <w:lang w:eastAsia="zh-CN"/>
        </w:rPr>
      </w:pPr>
    </w:p>
    <w:p w14:paraId="2206C019">
      <w:pPr>
        <w:rPr>
          <w:rFonts w:hint="eastAsia"/>
          <w:lang w:eastAsia="zh-CN"/>
        </w:rPr>
      </w:pPr>
    </w:p>
    <w:p w14:paraId="7C923BFC">
      <w:pPr>
        <w:rPr>
          <w:rFonts w:hint="eastAsia"/>
          <w:lang w:eastAsia="zh-CN"/>
        </w:rPr>
      </w:pPr>
    </w:p>
    <w:p w14:paraId="5778AE61">
      <w:pPr>
        <w:rPr>
          <w:rFonts w:hint="eastAsia"/>
          <w:lang w:eastAsia="zh-CN"/>
        </w:rPr>
      </w:pPr>
    </w:p>
    <w:p w14:paraId="6A51C151">
      <w:pPr>
        <w:rPr>
          <w:rFonts w:hint="eastAsia"/>
          <w:lang w:eastAsia="zh-CN"/>
        </w:rPr>
      </w:pPr>
    </w:p>
    <w:p w14:paraId="08CF21B9">
      <w:pPr>
        <w:rPr>
          <w:rFonts w:hint="eastAsia"/>
          <w:lang w:eastAsia="zh-CN"/>
        </w:rPr>
      </w:pPr>
    </w:p>
    <w:p w14:paraId="4DC7DC54">
      <w:pPr>
        <w:rPr>
          <w:rFonts w:hint="eastAsia"/>
          <w:lang w:eastAsia="zh-CN"/>
        </w:rPr>
      </w:pPr>
    </w:p>
    <w:p w14:paraId="33598A48">
      <w:pPr>
        <w:rPr>
          <w:rFonts w:hint="eastAsia"/>
          <w:lang w:eastAsia="zh-CN"/>
        </w:rPr>
      </w:pPr>
    </w:p>
    <w:p w14:paraId="11EC01C9">
      <w:pPr>
        <w:pStyle w:val="25"/>
        <w:spacing w:before="78" w:after="78"/>
        <w:jc w:val="both"/>
        <w:rPr>
          <w:rFonts w:hint="eastAsia"/>
          <w:lang w:eastAsia="zh-CN"/>
        </w:rPr>
      </w:pPr>
    </w:p>
    <w:p w14:paraId="2EBCEFBC">
      <w:pPr>
        <w:rPr>
          <w:rFonts w:hint="eastAsia"/>
          <w:lang w:eastAsia="zh-CN"/>
        </w:rPr>
      </w:pPr>
    </w:p>
    <w:p w14:paraId="1FB079F3">
      <w:pPr>
        <w:rPr>
          <w:rFonts w:hint="eastAsia"/>
          <w:lang w:eastAsia="zh-CN"/>
        </w:rPr>
      </w:pPr>
    </w:p>
    <w:p w14:paraId="4B6BD7B7">
      <w:pPr>
        <w:rPr>
          <w:rFonts w:hint="eastAsia"/>
          <w:lang w:eastAsia="zh-CN"/>
        </w:rPr>
      </w:pPr>
    </w:p>
    <w:p w14:paraId="2C5A88C6">
      <w:pPr>
        <w:rPr>
          <w:rFonts w:hint="eastAsia"/>
          <w:lang w:eastAsia="zh-CN"/>
        </w:rPr>
      </w:pPr>
    </w:p>
    <w:p w14:paraId="729CA88F">
      <w:pPr>
        <w:rPr>
          <w:rFonts w:hint="eastAsia"/>
          <w:lang w:eastAsia="zh-CN"/>
        </w:rPr>
      </w:pPr>
    </w:p>
    <w:p w14:paraId="4FE4DE97">
      <w:pPr>
        <w:rPr>
          <w:rFonts w:hint="eastAsia"/>
          <w:lang w:eastAsia="zh-CN"/>
        </w:rPr>
      </w:pPr>
    </w:p>
    <w:p w14:paraId="347F375C">
      <w:pPr>
        <w:pStyle w:val="25"/>
        <w:spacing w:before="78" w:after="78"/>
        <w:jc w:val="center"/>
        <w:rPr>
          <w:rFonts w:ascii="宋体" w:hAnsi="Times New Roman" w:eastAsia="宋体" w:cs="Times New Roman"/>
          <w:kern w:val="2"/>
          <w:sz w:val="21"/>
          <w:szCs w:val="21"/>
          <w:lang w:val="en-US" w:eastAsia="zh-CN" w:bidi="ar-SA"/>
        </w:rPr>
      </w:pPr>
      <w:r>
        <w:rPr>
          <w:rFonts w:hint="eastAsia"/>
          <w:lang w:eastAsia="zh-CN"/>
        </w:rPr>
        <w:t>目</w:t>
      </w:r>
      <w:r>
        <w:rPr>
          <w:rFonts w:hint="eastAsia"/>
          <w:lang w:val="en-US" w:eastAsia="zh-CN"/>
        </w:rPr>
        <w:t xml:space="preserve"> </w:t>
      </w:r>
      <w:r>
        <w:rPr>
          <w:rFonts w:hint="eastAsia"/>
          <w:lang w:eastAsia="zh-CN"/>
        </w:rPr>
        <w:t>录</w:t>
      </w:r>
      <w:r>
        <w:fldChar w:fldCharType="begin"/>
      </w:r>
      <w:r>
        <w:instrText xml:space="preserve"> TOC \o "1-3" \h \z \u </w:instrText>
      </w:r>
      <w:r>
        <w:fldChar w:fldCharType="separate"/>
      </w:r>
    </w:p>
    <w:p w14:paraId="5580CE82">
      <w:pPr>
        <w:pStyle w:val="34"/>
        <w:tabs>
          <w:tab w:val="right" w:leader="dot" w:pos="9354"/>
          <w:tab w:val="clear" w:pos="9241"/>
        </w:tabs>
      </w:pPr>
      <w:r>
        <w:fldChar w:fldCharType="begin"/>
      </w:r>
      <w:r>
        <w:instrText xml:space="preserve"> HYPERLINK \l _Toc9552 </w:instrText>
      </w:r>
      <w: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_Toc9552 </w:instrText>
      </w:r>
      <w:r>
        <w:fldChar w:fldCharType="separate"/>
      </w:r>
      <w:r>
        <w:t>3</w:t>
      </w:r>
      <w:r>
        <w:fldChar w:fldCharType="end"/>
      </w:r>
      <w:r>
        <w:fldChar w:fldCharType="end"/>
      </w:r>
    </w:p>
    <w:p w14:paraId="1687CBCC">
      <w:pPr>
        <w:pStyle w:val="34"/>
        <w:tabs>
          <w:tab w:val="right" w:leader="dot" w:pos="9354"/>
          <w:tab w:val="clear" w:pos="9241"/>
        </w:tabs>
      </w:pPr>
      <w:r>
        <w:fldChar w:fldCharType="begin"/>
      </w:r>
      <w:r>
        <w:instrText xml:space="preserve"> HYPERLINK \l _Toc7050 </w:instrText>
      </w:r>
      <w:r>
        <w:fldChar w:fldCharType="separate"/>
      </w:r>
      <w:r>
        <w:rPr>
          <w:rFonts w:hint="eastAsia" w:ascii="黑体" w:hAnsi="Times New Roman" w:eastAsia="黑体"/>
          <w:i w:val="0"/>
          <w:kern w:val="2"/>
          <w:szCs w:val="21"/>
        </w:rPr>
        <w:t xml:space="preserve">2 </w:t>
      </w:r>
      <w:r>
        <w:rPr>
          <w:rFonts w:hint="eastAsia"/>
          <w:kern w:val="2"/>
        </w:rPr>
        <w:t>基本要求</w:t>
      </w:r>
      <w:r>
        <w:tab/>
      </w:r>
      <w:r>
        <w:fldChar w:fldCharType="begin"/>
      </w:r>
      <w:r>
        <w:instrText xml:space="preserve"> PAGEREF _Toc7050 </w:instrText>
      </w:r>
      <w:r>
        <w:fldChar w:fldCharType="separate"/>
      </w:r>
      <w:r>
        <w:t>3</w:t>
      </w:r>
      <w:r>
        <w:fldChar w:fldCharType="end"/>
      </w:r>
      <w:r>
        <w:fldChar w:fldCharType="end"/>
      </w:r>
    </w:p>
    <w:p w14:paraId="22E9B72C">
      <w:pPr>
        <w:pStyle w:val="16"/>
        <w:tabs>
          <w:tab w:val="right" w:leader="dot" w:pos="9354"/>
          <w:tab w:val="clear" w:pos="9241"/>
        </w:tabs>
      </w:pPr>
      <w:r>
        <w:fldChar w:fldCharType="begin"/>
      </w:r>
      <w:r>
        <w:instrText xml:space="preserve"> HYPERLINK \l _Toc31944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2.1 </w:t>
      </w:r>
      <w:r>
        <w:rPr>
          <w:rFonts w:hint="eastAsia"/>
        </w:rPr>
        <w:t>成立组织机构</w:t>
      </w:r>
      <w:r>
        <w:tab/>
      </w:r>
      <w:r>
        <w:fldChar w:fldCharType="begin"/>
      </w:r>
      <w:r>
        <w:instrText xml:space="preserve"> PAGEREF _Toc31944 </w:instrText>
      </w:r>
      <w:r>
        <w:fldChar w:fldCharType="separate"/>
      </w:r>
      <w:r>
        <w:t>3</w:t>
      </w:r>
      <w:r>
        <w:fldChar w:fldCharType="end"/>
      </w:r>
      <w:r>
        <w:fldChar w:fldCharType="end"/>
      </w:r>
    </w:p>
    <w:p w14:paraId="22594719">
      <w:pPr>
        <w:pStyle w:val="16"/>
        <w:tabs>
          <w:tab w:val="right" w:leader="dot" w:pos="9354"/>
          <w:tab w:val="clear" w:pos="9241"/>
        </w:tabs>
      </w:pPr>
      <w:r>
        <w:fldChar w:fldCharType="begin"/>
      </w:r>
      <w:r>
        <w:instrText xml:space="preserve"> HYPERLINK \l _Toc27709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2.2 </w:t>
      </w:r>
      <w:r>
        <w:rPr>
          <w:rFonts w:hint="eastAsia"/>
        </w:rPr>
        <w:t>实施全员培训</w:t>
      </w:r>
      <w:r>
        <w:tab/>
      </w:r>
      <w:r>
        <w:fldChar w:fldCharType="begin"/>
      </w:r>
      <w:r>
        <w:instrText xml:space="preserve"> PAGEREF _Toc27709 </w:instrText>
      </w:r>
      <w:r>
        <w:fldChar w:fldCharType="separate"/>
      </w:r>
      <w:r>
        <w:t>4</w:t>
      </w:r>
      <w:r>
        <w:fldChar w:fldCharType="end"/>
      </w:r>
      <w:r>
        <w:fldChar w:fldCharType="end"/>
      </w:r>
    </w:p>
    <w:p w14:paraId="2371FC39">
      <w:pPr>
        <w:pStyle w:val="34"/>
        <w:tabs>
          <w:tab w:val="right" w:leader="dot" w:pos="9354"/>
          <w:tab w:val="clear" w:pos="9241"/>
        </w:tabs>
      </w:pPr>
      <w:r>
        <w:fldChar w:fldCharType="begin"/>
      </w:r>
      <w:r>
        <w:instrText xml:space="preserve"> HYPERLINK \l _Toc1921 </w:instrText>
      </w:r>
      <w:r>
        <w:fldChar w:fldCharType="separate"/>
      </w:r>
      <w:r>
        <w:rPr>
          <w:rFonts w:hint="eastAsia" w:ascii="黑体" w:hAnsi="Times New Roman" w:eastAsia="黑体"/>
          <w:i w:val="0"/>
          <w:kern w:val="2"/>
          <w:szCs w:val="21"/>
        </w:rPr>
        <w:t xml:space="preserve">3 </w:t>
      </w:r>
      <w:r>
        <w:rPr>
          <w:rFonts w:hint="eastAsia"/>
          <w:kern w:val="2"/>
        </w:rPr>
        <w:t>工作程序和内容</w:t>
      </w:r>
      <w:r>
        <w:tab/>
      </w:r>
      <w:r>
        <w:fldChar w:fldCharType="begin"/>
      </w:r>
      <w:r>
        <w:instrText xml:space="preserve"> PAGEREF _Toc1921 </w:instrText>
      </w:r>
      <w:r>
        <w:fldChar w:fldCharType="separate"/>
      </w:r>
      <w:r>
        <w:t>4</w:t>
      </w:r>
      <w:r>
        <w:fldChar w:fldCharType="end"/>
      </w:r>
      <w:r>
        <w:fldChar w:fldCharType="end"/>
      </w:r>
    </w:p>
    <w:p w14:paraId="3BAE62BA">
      <w:pPr>
        <w:pStyle w:val="16"/>
        <w:tabs>
          <w:tab w:val="right" w:leader="dot" w:pos="9354"/>
          <w:tab w:val="clear" w:pos="9241"/>
        </w:tabs>
      </w:pPr>
      <w:r>
        <w:fldChar w:fldCharType="begin"/>
      </w:r>
      <w:r>
        <w:instrText xml:space="preserve"> HYPERLINK \l _Toc20284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3.1 </w:t>
      </w:r>
      <w:r>
        <w:rPr>
          <w:rFonts w:hint="eastAsia"/>
        </w:rPr>
        <w:t>风险点确定</w:t>
      </w:r>
      <w:r>
        <w:tab/>
      </w:r>
      <w:r>
        <w:fldChar w:fldCharType="begin"/>
      </w:r>
      <w:r>
        <w:instrText xml:space="preserve"> PAGEREF _Toc20284 </w:instrText>
      </w:r>
      <w:r>
        <w:fldChar w:fldCharType="separate"/>
      </w:r>
      <w:r>
        <w:t>5</w:t>
      </w:r>
      <w:r>
        <w:fldChar w:fldCharType="end"/>
      </w:r>
      <w:r>
        <w:fldChar w:fldCharType="end"/>
      </w:r>
    </w:p>
    <w:p w14:paraId="78D63F49">
      <w:pPr>
        <w:pStyle w:val="16"/>
        <w:tabs>
          <w:tab w:val="right" w:leader="dot" w:pos="9354"/>
          <w:tab w:val="clear" w:pos="9241"/>
        </w:tabs>
      </w:pPr>
      <w:r>
        <w:fldChar w:fldCharType="begin"/>
      </w:r>
      <w:r>
        <w:instrText xml:space="preserve"> HYPERLINK \l _Toc26660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3.2 </w:t>
      </w:r>
      <w:r>
        <w:rPr>
          <w:rFonts w:hint="eastAsia"/>
        </w:rPr>
        <w:t>危险源辨识</w:t>
      </w:r>
      <w:r>
        <w:tab/>
      </w:r>
      <w:r>
        <w:fldChar w:fldCharType="begin"/>
      </w:r>
      <w:r>
        <w:instrText xml:space="preserve"> PAGEREF _Toc26660 </w:instrText>
      </w:r>
      <w:r>
        <w:fldChar w:fldCharType="separate"/>
      </w:r>
      <w:r>
        <w:t>6</w:t>
      </w:r>
      <w:r>
        <w:fldChar w:fldCharType="end"/>
      </w:r>
      <w:r>
        <w:fldChar w:fldCharType="end"/>
      </w:r>
    </w:p>
    <w:p w14:paraId="3B07B872">
      <w:pPr>
        <w:pStyle w:val="16"/>
        <w:tabs>
          <w:tab w:val="right" w:leader="dot" w:pos="9354"/>
          <w:tab w:val="clear" w:pos="9241"/>
        </w:tabs>
      </w:pPr>
      <w:r>
        <w:fldChar w:fldCharType="begin"/>
      </w:r>
      <w:r>
        <w:instrText xml:space="preserve"> HYPERLINK \l _Toc22288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3.3 </w:t>
      </w:r>
      <w:r>
        <w:rPr>
          <w:rFonts w:hint="eastAsia"/>
        </w:rPr>
        <w:t>风险评价</w:t>
      </w:r>
      <w:r>
        <w:tab/>
      </w:r>
      <w:r>
        <w:fldChar w:fldCharType="begin"/>
      </w:r>
      <w:r>
        <w:instrText xml:space="preserve"> PAGEREF _Toc22288 </w:instrText>
      </w:r>
      <w:r>
        <w:fldChar w:fldCharType="separate"/>
      </w:r>
      <w:r>
        <w:t>8</w:t>
      </w:r>
      <w:r>
        <w:fldChar w:fldCharType="end"/>
      </w:r>
      <w:r>
        <w:fldChar w:fldCharType="end"/>
      </w:r>
    </w:p>
    <w:p w14:paraId="67069E34">
      <w:pPr>
        <w:pStyle w:val="16"/>
        <w:tabs>
          <w:tab w:val="right" w:leader="dot" w:pos="9354"/>
          <w:tab w:val="clear" w:pos="9241"/>
        </w:tabs>
      </w:pPr>
      <w:r>
        <w:fldChar w:fldCharType="begin"/>
      </w:r>
      <w:r>
        <w:instrText xml:space="preserve"> HYPERLINK \l _Toc32659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3.4 </w:t>
      </w:r>
      <w:r>
        <w:rPr>
          <w:rFonts w:hint="eastAsia"/>
        </w:rPr>
        <w:t>风险控制措施的制定与实施</w:t>
      </w:r>
      <w:r>
        <w:tab/>
      </w:r>
      <w:r>
        <w:fldChar w:fldCharType="begin"/>
      </w:r>
      <w:r>
        <w:instrText xml:space="preserve"> PAGEREF _Toc32659 </w:instrText>
      </w:r>
      <w:r>
        <w:fldChar w:fldCharType="separate"/>
      </w:r>
      <w:r>
        <w:t>11</w:t>
      </w:r>
      <w:r>
        <w:fldChar w:fldCharType="end"/>
      </w:r>
      <w:r>
        <w:fldChar w:fldCharType="end"/>
      </w:r>
    </w:p>
    <w:p w14:paraId="4BAAC3B3">
      <w:pPr>
        <w:pStyle w:val="16"/>
        <w:tabs>
          <w:tab w:val="right" w:leader="dot" w:pos="9354"/>
          <w:tab w:val="clear" w:pos="9241"/>
        </w:tabs>
      </w:pPr>
      <w:r>
        <w:fldChar w:fldCharType="begin"/>
      </w:r>
      <w:r>
        <w:instrText xml:space="preserve"> HYPERLINK \l _Toc32674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3.5 </w:t>
      </w:r>
      <w:r>
        <w:rPr>
          <w:rFonts w:hint="eastAsia"/>
        </w:rPr>
        <w:t>风险分级管控</w:t>
      </w:r>
      <w:r>
        <w:tab/>
      </w:r>
      <w:r>
        <w:fldChar w:fldCharType="begin"/>
      </w:r>
      <w:r>
        <w:instrText xml:space="preserve"> PAGEREF _Toc32674 </w:instrText>
      </w:r>
      <w:r>
        <w:fldChar w:fldCharType="separate"/>
      </w:r>
      <w:r>
        <w:t>11</w:t>
      </w:r>
      <w:r>
        <w:fldChar w:fldCharType="end"/>
      </w:r>
      <w:r>
        <w:fldChar w:fldCharType="end"/>
      </w:r>
    </w:p>
    <w:p w14:paraId="690BAAC0">
      <w:pPr>
        <w:pStyle w:val="34"/>
        <w:tabs>
          <w:tab w:val="right" w:leader="dot" w:pos="9354"/>
          <w:tab w:val="clear" w:pos="9241"/>
        </w:tabs>
      </w:pPr>
      <w:r>
        <w:fldChar w:fldCharType="begin"/>
      </w:r>
      <w:r>
        <w:instrText xml:space="preserve"> HYPERLINK \l _Toc18010 </w:instrText>
      </w:r>
      <w:r>
        <w:fldChar w:fldCharType="separate"/>
      </w:r>
      <w:r>
        <w:rPr>
          <w:rFonts w:hint="eastAsia" w:ascii="黑体" w:hAnsi="Times New Roman" w:eastAsia="黑体"/>
          <w:i w:val="0"/>
          <w:kern w:val="2"/>
          <w:szCs w:val="21"/>
        </w:rPr>
        <w:t xml:space="preserve">4 </w:t>
      </w:r>
      <w:r>
        <w:rPr>
          <w:rFonts w:hint="eastAsia"/>
          <w:kern w:val="2"/>
        </w:rPr>
        <w:t>文件管理</w:t>
      </w:r>
      <w:r>
        <w:tab/>
      </w:r>
      <w:r>
        <w:fldChar w:fldCharType="begin"/>
      </w:r>
      <w:r>
        <w:instrText xml:space="preserve"> PAGEREF _Toc18010 </w:instrText>
      </w:r>
      <w:r>
        <w:fldChar w:fldCharType="separate"/>
      </w:r>
      <w:r>
        <w:t>12</w:t>
      </w:r>
      <w:r>
        <w:fldChar w:fldCharType="end"/>
      </w:r>
      <w:r>
        <w:fldChar w:fldCharType="end"/>
      </w:r>
    </w:p>
    <w:p w14:paraId="3E41CA0C">
      <w:pPr>
        <w:pStyle w:val="34"/>
        <w:tabs>
          <w:tab w:val="right" w:leader="dot" w:pos="9354"/>
          <w:tab w:val="clear" w:pos="9241"/>
        </w:tabs>
      </w:pPr>
      <w:r>
        <w:fldChar w:fldCharType="begin"/>
      </w:r>
      <w:r>
        <w:instrText xml:space="preserve"> HYPERLINK \l _Toc17015 </w:instrText>
      </w:r>
      <w:r>
        <w:fldChar w:fldCharType="separate"/>
      </w:r>
      <w:r>
        <w:rPr>
          <w:rFonts w:hint="eastAsia" w:ascii="黑体" w:hAnsi="Times New Roman" w:eastAsia="黑体"/>
          <w:i w:val="0"/>
          <w:kern w:val="2"/>
          <w:szCs w:val="21"/>
        </w:rPr>
        <w:t xml:space="preserve">5 </w:t>
      </w:r>
      <w:r>
        <w:rPr>
          <w:rFonts w:hint="eastAsia"/>
          <w:kern w:val="2"/>
        </w:rPr>
        <w:t>分级管控的效果</w:t>
      </w:r>
      <w:r>
        <w:tab/>
      </w:r>
      <w:r>
        <w:fldChar w:fldCharType="begin"/>
      </w:r>
      <w:r>
        <w:instrText xml:space="preserve"> PAGEREF _Toc17015 </w:instrText>
      </w:r>
      <w:r>
        <w:fldChar w:fldCharType="separate"/>
      </w:r>
      <w:r>
        <w:t>12</w:t>
      </w:r>
      <w:r>
        <w:fldChar w:fldCharType="end"/>
      </w:r>
      <w:r>
        <w:fldChar w:fldCharType="end"/>
      </w:r>
    </w:p>
    <w:p w14:paraId="480FC3E5">
      <w:pPr>
        <w:pStyle w:val="34"/>
        <w:tabs>
          <w:tab w:val="right" w:leader="dot" w:pos="9354"/>
          <w:tab w:val="clear" w:pos="9241"/>
        </w:tabs>
      </w:pPr>
      <w:r>
        <w:fldChar w:fldCharType="begin"/>
      </w:r>
      <w:r>
        <w:instrText xml:space="preserve"> HYPERLINK \l _Toc11912 </w:instrText>
      </w:r>
      <w:r>
        <w:fldChar w:fldCharType="separate"/>
      </w:r>
      <w:r>
        <w:rPr>
          <w:rFonts w:hint="eastAsia" w:ascii="黑体" w:hAnsi="Times New Roman" w:eastAsia="黑体"/>
          <w:i w:val="0"/>
          <w:kern w:val="2"/>
          <w:szCs w:val="21"/>
        </w:rPr>
        <w:t xml:space="preserve">6 </w:t>
      </w:r>
      <w:r>
        <w:rPr>
          <w:rFonts w:hint="eastAsia"/>
          <w:kern w:val="2"/>
        </w:rPr>
        <w:t>持续改进</w:t>
      </w:r>
      <w:r>
        <w:tab/>
      </w:r>
      <w:r>
        <w:fldChar w:fldCharType="begin"/>
      </w:r>
      <w:r>
        <w:instrText xml:space="preserve"> PAGEREF _Toc11912 </w:instrText>
      </w:r>
      <w:r>
        <w:fldChar w:fldCharType="separate"/>
      </w:r>
      <w:r>
        <w:t>12</w:t>
      </w:r>
      <w:r>
        <w:fldChar w:fldCharType="end"/>
      </w:r>
      <w:r>
        <w:fldChar w:fldCharType="end"/>
      </w:r>
    </w:p>
    <w:p w14:paraId="09FA3F9C">
      <w:pPr>
        <w:pStyle w:val="16"/>
        <w:tabs>
          <w:tab w:val="right" w:leader="dot" w:pos="9354"/>
          <w:tab w:val="clear" w:pos="9241"/>
        </w:tabs>
      </w:pPr>
      <w:r>
        <w:fldChar w:fldCharType="begin"/>
      </w:r>
      <w:r>
        <w:instrText xml:space="preserve"> HYPERLINK \l _Toc5514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6.1 </w:t>
      </w:r>
      <w:r>
        <w:rPr>
          <w:rFonts w:hint="eastAsia"/>
        </w:rPr>
        <w:t>评审</w:t>
      </w:r>
      <w:r>
        <w:tab/>
      </w:r>
      <w:r>
        <w:fldChar w:fldCharType="begin"/>
      </w:r>
      <w:r>
        <w:instrText xml:space="preserve"> PAGEREF _Toc5514 </w:instrText>
      </w:r>
      <w:r>
        <w:fldChar w:fldCharType="separate"/>
      </w:r>
      <w:r>
        <w:t>12</w:t>
      </w:r>
      <w:r>
        <w:fldChar w:fldCharType="end"/>
      </w:r>
      <w:r>
        <w:fldChar w:fldCharType="end"/>
      </w:r>
    </w:p>
    <w:p w14:paraId="350C10FC">
      <w:pPr>
        <w:pStyle w:val="16"/>
        <w:tabs>
          <w:tab w:val="right" w:leader="dot" w:pos="9354"/>
          <w:tab w:val="clear" w:pos="9241"/>
        </w:tabs>
      </w:pPr>
      <w:r>
        <w:fldChar w:fldCharType="begin"/>
      </w:r>
      <w:r>
        <w:instrText xml:space="preserve"> HYPERLINK \l _Toc14736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6.2 </w:t>
      </w:r>
      <w:r>
        <w:rPr>
          <w:rFonts w:hint="eastAsia"/>
        </w:rPr>
        <w:t>更新</w:t>
      </w:r>
      <w:r>
        <w:tab/>
      </w:r>
      <w:r>
        <w:fldChar w:fldCharType="begin"/>
      </w:r>
      <w:r>
        <w:instrText xml:space="preserve"> PAGEREF _Toc14736 </w:instrText>
      </w:r>
      <w:r>
        <w:fldChar w:fldCharType="separate"/>
      </w:r>
      <w:r>
        <w:t>12</w:t>
      </w:r>
      <w:r>
        <w:fldChar w:fldCharType="end"/>
      </w:r>
      <w:r>
        <w:fldChar w:fldCharType="end"/>
      </w:r>
    </w:p>
    <w:p w14:paraId="61208D3C">
      <w:pPr>
        <w:pStyle w:val="16"/>
        <w:tabs>
          <w:tab w:val="right" w:leader="dot" w:pos="9354"/>
          <w:tab w:val="clear" w:pos="9241"/>
        </w:tabs>
      </w:pPr>
      <w:r>
        <w:fldChar w:fldCharType="begin"/>
      </w:r>
      <w:r>
        <w:instrText xml:space="preserve"> HYPERLINK \l _Toc29262 </w:instrText>
      </w:r>
      <w: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6.3 </w:t>
      </w:r>
      <w:r>
        <w:rPr>
          <w:rFonts w:hint="eastAsia"/>
        </w:rPr>
        <w:t>沟通</w:t>
      </w:r>
      <w:r>
        <w:tab/>
      </w:r>
      <w:r>
        <w:fldChar w:fldCharType="begin"/>
      </w:r>
      <w:r>
        <w:instrText xml:space="preserve"> PAGEREF _Toc29262 </w:instrText>
      </w:r>
      <w:r>
        <w:fldChar w:fldCharType="separate"/>
      </w:r>
      <w:r>
        <w:t>13</w:t>
      </w:r>
      <w:r>
        <w:fldChar w:fldCharType="end"/>
      </w:r>
      <w:r>
        <w:fldChar w:fldCharType="end"/>
      </w:r>
    </w:p>
    <w:p w14:paraId="428DC550">
      <w:pPr>
        <w:pStyle w:val="61"/>
        <w:keepNext/>
        <w:keepLines w:val="0"/>
        <w:pageBreakBefore/>
        <w:widowControl/>
        <w:tabs>
          <w:tab w:val="right" w:leader="dot" w:pos="9241"/>
        </w:tabs>
        <w:kinsoku/>
        <w:wordWrap/>
        <w:overflowPunct/>
        <w:topLinePunct w:val="0"/>
        <w:autoSpaceDE/>
        <w:autoSpaceDN/>
        <w:bidi w:val="0"/>
        <w:adjustRightInd/>
        <w:snapToGrid/>
        <w:spacing w:before="157" w:beforeLines="50" w:after="157" w:afterLines="50" w:line="240" w:lineRule="auto"/>
        <w:jc w:val="both"/>
        <w:textAlignment w:val="auto"/>
        <w:rPr>
          <w:rFonts w:hint="eastAsia" w:eastAsia="黑体"/>
          <w:sz w:val="24"/>
          <w:szCs w:val="24"/>
          <w:lang w:eastAsia="zh-CN"/>
        </w:rPr>
      </w:pPr>
      <w:r>
        <w:fldChar w:fldCharType="end"/>
      </w:r>
      <w:bookmarkEnd w:id="0"/>
      <w:bookmarkEnd w:id="1"/>
      <w:r>
        <w:rPr>
          <w:rFonts w:hint="eastAsia"/>
          <w:sz w:val="24"/>
          <w:szCs w:val="24"/>
          <w:lang w:eastAsia="zh-CN"/>
        </w:rPr>
        <w:t>一</w:t>
      </w:r>
      <w:r>
        <w:rPr>
          <w:rFonts w:hint="eastAsia"/>
          <w:sz w:val="24"/>
          <w:szCs w:val="24"/>
          <w:lang w:val="en-US" w:eastAsia="zh-CN"/>
        </w:rPr>
        <w:t xml:space="preserve"> 适用</w:t>
      </w:r>
      <w:r>
        <w:rPr>
          <w:rFonts w:hint="eastAsia"/>
          <w:sz w:val="24"/>
          <w:szCs w:val="24"/>
          <w:lang w:eastAsia="zh-CN"/>
        </w:rPr>
        <w:t>范围</w:t>
      </w:r>
    </w:p>
    <w:p w14:paraId="2D98CD9C">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lang w:eastAsia="zh-CN"/>
        </w:rPr>
        <w:t>本指导书</w:t>
      </w:r>
      <w:r>
        <w:rPr>
          <w:rFonts w:hint="eastAsia"/>
          <w:sz w:val="22"/>
          <w:szCs w:val="22"/>
        </w:rPr>
        <w:t>规定了</w:t>
      </w:r>
      <w:r>
        <w:rPr>
          <w:rFonts w:hint="eastAsia"/>
          <w:sz w:val="22"/>
          <w:szCs w:val="22"/>
          <w:lang w:eastAsia="zh-CN"/>
        </w:rPr>
        <w:t>苏州天立达胶粘制品</w:t>
      </w:r>
      <w:r>
        <w:rPr>
          <w:rFonts w:hint="eastAsia"/>
          <w:sz w:val="22"/>
          <w:szCs w:val="22"/>
        </w:rPr>
        <w:t>有限公司风险分级管控体系建设的基本要求、工作程序和内容、文件管理、分级管控效果和持续改进等内容。</w:t>
      </w:r>
    </w:p>
    <w:p w14:paraId="56CF9C7D">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lang w:eastAsia="zh-CN"/>
        </w:rPr>
        <w:t>本指导书</w:t>
      </w:r>
      <w:r>
        <w:rPr>
          <w:rFonts w:hint="eastAsia"/>
          <w:sz w:val="22"/>
          <w:szCs w:val="22"/>
        </w:rPr>
        <w:t>适用于指导</w:t>
      </w:r>
      <w:r>
        <w:rPr>
          <w:rFonts w:hint="eastAsia"/>
          <w:sz w:val="22"/>
          <w:szCs w:val="22"/>
          <w:lang w:eastAsia="zh-CN"/>
        </w:rPr>
        <w:t>苏州天立达胶粘制品</w:t>
      </w:r>
      <w:r>
        <w:rPr>
          <w:rFonts w:hint="eastAsia"/>
          <w:sz w:val="22"/>
          <w:szCs w:val="22"/>
        </w:rPr>
        <w:t>有限公司风险分级管控体系的建设。</w:t>
      </w:r>
    </w:p>
    <w:p w14:paraId="3E0AECE7">
      <w:pPr>
        <w:pStyle w:val="4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textAlignment w:val="auto"/>
        <w:outlineLvl w:val="0"/>
        <w:rPr>
          <w:kern w:val="2"/>
          <w:sz w:val="24"/>
          <w:szCs w:val="24"/>
        </w:rPr>
      </w:pPr>
      <w:bookmarkStart w:id="2" w:name="_Toc472947755"/>
      <w:bookmarkStart w:id="3" w:name="_Toc7050"/>
      <w:bookmarkStart w:id="4" w:name="_Toc475021498"/>
      <w:bookmarkStart w:id="5" w:name="_Toc472504992"/>
      <w:r>
        <w:rPr>
          <w:rFonts w:hint="eastAsia"/>
          <w:kern w:val="2"/>
          <w:sz w:val="24"/>
          <w:szCs w:val="24"/>
          <w:lang w:eastAsia="zh-CN"/>
        </w:rPr>
        <w:t>二</w:t>
      </w:r>
      <w:r>
        <w:rPr>
          <w:rFonts w:hint="eastAsia"/>
          <w:kern w:val="2"/>
          <w:sz w:val="24"/>
          <w:szCs w:val="24"/>
          <w:lang w:val="en-US" w:eastAsia="zh-CN"/>
        </w:rPr>
        <w:t xml:space="preserve"> </w:t>
      </w:r>
      <w:r>
        <w:rPr>
          <w:rFonts w:hint="eastAsia"/>
          <w:kern w:val="2"/>
          <w:sz w:val="24"/>
          <w:szCs w:val="24"/>
        </w:rPr>
        <w:t>基本要求</w:t>
      </w:r>
      <w:bookmarkEnd w:id="2"/>
      <w:bookmarkEnd w:id="3"/>
      <w:bookmarkEnd w:id="4"/>
      <w:bookmarkEnd w:id="5"/>
    </w:p>
    <w:p w14:paraId="405BD786">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sz w:val="24"/>
          <w:szCs w:val="24"/>
        </w:rPr>
      </w:pPr>
      <w:bookmarkStart w:id="6" w:name="_Toc470188635"/>
      <w:bookmarkStart w:id="7" w:name="_Toc31944"/>
      <w:bookmarkStart w:id="8" w:name="_Toc472504993"/>
      <w:bookmarkStart w:id="9" w:name="_Toc472947756"/>
      <w:bookmarkStart w:id="10" w:name="_Toc475021499"/>
      <w:bookmarkStart w:id="11" w:name="_Toc475086837"/>
      <w:bookmarkStart w:id="12" w:name="_Toc479317579"/>
      <w:bookmarkStart w:id="13" w:name="_Toc472947757"/>
      <w:bookmarkStart w:id="14" w:name="_Toc470188636"/>
      <w:bookmarkStart w:id="15" w:name="_Toc472504994"/>
      <w:bookmarkStart w:id="16" w:name="_Toc475021500"/>
      <w:bookmarkStart w:id="17" w:name="_Toc455127149"/>
      <w:bookmarkStart w:id="18" w:name="_Toc466060653"/>
      <w:r>
        <w:rPr>
          <w:rFonts w:hint="eastAsia"/>
          <w:sz w:val="24"/>
          <w:szCs w:val="24"/>
          <w:lang w:val="en-US" w:eastAsia="zh-CN"/>
        </w:rPr>
        <w:t>2.1</w:t>
      </w:r>
      <w:r>
        <w:rPr>
          <w:rFonts w:hint="eastAsia"/>
          <w:sz w:val="24"/>
          <w:szCs w:val="24"/>
        </w:rPr>
        <w:t>成立组织机构</w:t>
      </w:r>
      <w:bookmarkEnd w:id="6"/>
      <w:bookmarkEnd w:id="7"/>
      <w:bookmarkEnd w:id="8"/>
      <w:bookmarkEnd w:id="9"/>
      <w:bookmarkEnd w:id="10"/>
      <w:bookmarkEnd w:id="11"/>
      <w:bookmarkEnd w:id="12"/>
    </w:p>
    <w:p w14:paraId="2045E938">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bookmarkStart w:id="19" w:name="_Toc27709"/>
      <w:r>
        <w:rPr>
          <w:rFonts w:hint="eastAsia" w:ascii="宋体" w:hAnsi="宋体" w:eastAsia="宋体" w:cs="宋体"/>
          <w:color w:val="000000"/>
          <w:kern w:val="0"/>
          <w:sz w:val="22"/>
          <w:szCs w:val="22"/>
          <w:lang w:val="en-US" w:eastAsia="zh-CN" w:bidi="ar"/>
        </w:rPr>
        <w:t>为更好地推进安全风险辨识、分级管控工作，落实风险分级管控措施。坚持关口前移，超前辨识预判厂内各处安全风险，通过实施制度、技术、工程、管理等措施，有效防控各类安全风险。经公司研究决定成立企业成立由</w:t>
      </w:r>
      <w:r>
        <w:rPr>
          <w:rFonts w:hint="eastAsia" w:ascii="宋体" w:hAnsi="宋体" w:eastAsia="宋体" w:cs="宋体"/>
          <w:color w:val="0000FF"/>
          <w:kern w:val="0"/>
          <w:sz w:val="22"/>
          <w:szCs w:val="22"/>
          <w:lang w:val="en-US" w:eastAsia="zh-CN" w:bidi="ar"/>
        </w:rPr>
        <w:t>总经理、分管副总、专职安全员和管理部、生产部等各职能部门负责人</w:t>
      </w:r>
      <w:r>
        <w:rPr>
          <w:rFonts w:hint="eastAsia" w:ascii="宋体" w:hAnsi="宋体" w:eastAsia="宋体" w:cs="宋体"/>
          <w:color w:val="000000"/>
          <w:kern w:val="0"/>
          <w:sz w:val="22"/>
          <w:szCs w:val="22"/>
          <w:lang w:val="en-US" w:eastAsia="zh-CN" w:bidi="ar"/>
        </w:rPr>
        <w:t>安全风险管理领导小组</w:t>
      </w:r>
      <w:r>
        <w:rPr>
          <w:rFonts w:hint="eastAsia" w:hAnsi="宋体" w:cs="宋体"/>
          <w:color w:val="000000"/>
          <w:kern w:val="0"/>
          <w:sz w:val="22"/>
          <w:szCs w:val="22"/>
          <w:lang w:val="en-US" w:eastAsia="zh-CN" w:bidi="ar"/>
        </w:rPr>
        <w:t>。</w:t>
      </w:r>
      <w:r>
        <w:rPr>
          <w:rFonts w:hint="eastAsia" w:hAnsi="宋体" w:cs="宋体"/>
          <w:color w:val="0000FF"/>
          <w:kern w:val="0"/>
          <w:sz w:val="22"/>
          <w:szCs w:val="22"/>
          <w:lang w:val="en-US" w:eastAsia="zh-CN" w:bidi="ar"/>
        </w:rPr>
        <w:t>由</w:t>
      </w:r>
      <w:r>
        <w:rPr>
          <w:rFonts w:hint="eastAsia" w:ascii="宋体" w:hAnsi="宋体" w:eastAsia="宋体" w:cs="宋体"/>
          <w:color w:val="0000FF"/>
          <w:kern w:val="0"/>
          <w:sz w:val="22"/>
          <w:szCs w:val="22"/>
          <w:lang w:val="en-US" w:eastAsia="zh-CN" w:bidi="ar"/>
        </w:rPr>
        <w:t>安全、生产、技术、设备等各类专业技术人员组成的安全风险管理</w:t>
      </w:r>
      <w:r>
        <w:rPr>
          <w:rFonts w:hint="eastAsia" w:hAnsi="宋体" w:cs="宋体"/>
          <w:color w:val="0000FF"/>
          <w:kern w:val="0"/>
          <w:sz w:val="22"/>
          <w:szCs w:val="22"/>
          <w:lang w:val="en-US" w:eastAsia="zh-CN" w:bidi="ar"/>
        </w:rPr>
        <w:t>专业</w:t>
      </w:r>
      <w:r>
        <w:rPr>
          <w:rFonts w:hint="eastAsia" w:ascii="宋体" w:hAnsi="宋体" w:eastAsia="宋体" w:cs="宋体"/>
          <w:color w:val="0000FF"/>
          <w:kern w:val="0"/>
          <w:sz w:val="22"/>
          <w:szCs w:val="22"/>
          <w:lang w:val="en-US" w:eastAsia="zh-CN" w:bidi="ar"/>
        </w:rPr>
        <w:t>工作小组，</w:t>
      </w:r>
      <w:r>
        <w:rPr>
          <w:rFonts w:hint="eastAsia" w:ascii="宋体" w:hAnsi="宋体" w:eastAsia="宋体" w:cs="宋体"/>
          <w:color w:val="000000"/>
          <w:kern w:val="0"/>
          <w:sz w:val="22"/>
          <w:szCs w:val="22"/>
          <w:lang w:val="en-US" w:eastAsia="zh-CN" w:bidi="ar"/>
        </w:rPr>
        <w:t>负责</w:t>
      </w:r>
      <w:r>
        <w:rPr>
          <w:rFonts w:hint="eastAsia" w:hAnsi="宋体" w:cs="宋体"/>
          <w:color w:val="000000"/>
          <w:kern w:val="0"/>
          <w:sz w:val="22"/>
          <w:szCs w:val="22"/>
          <w:lang w:val="en-US" w:eastAsia="zh-CN" w:bidi="ar"/>
        </w:rPr>
        <w:t>具体的</w:t>
      </w:r>
      <w:r>
        <w:rPr>
          <w:rFonts w:hint="eastAsia" w:ascii="宋体" w:hAnsi="宋体" w:eastAsia="宋体" w:cs="宋体"/>
          <w:color w:val="000000"/>
          <w:kern w:val="0"/>
          <w:sz w:val="22"/>
          <w:szCs w:val="22"/>
          <w:lang w:val="en-US" w:eastAsia="zh-CN" w:bidi="ar"/>
        </w:rPr>
        <w:t>推进公司安全风险辨识、分级管控工作</w:t>
      </w:r>
      <w:r>
        <w:rPr>
          <w:rFonts w:hint="eastAsia" w:hAnsi="宋体" w:cs="宋体"/>
          <w:color w:val="000000"/>
          <w:kern w:val="0"/>
          <w:sz w:val="22"/>
          <w:szCs w:val="22"/>
          <w:lang w:val="en-US" w:eastAsia="zh-CN" w:bidi="ar"/>
        </w:rPr>
        <w:t>。</w:t>
      </w:r>
    </w:p>
    <w:p w14:paraId="1A90F373">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default"/>
          <w:sz w:val="24"/>
          <w:szCs w:val="24"/>
          <w:lang w:val="en-US" w:eastAsia="zh-CN"/>
        </w:rPr>
      </w:pPr>
      <w:r>
        <w:rPr>
          <w:rFonts w:hint="eastAsia"/>
          <w:sz w:val="24"/>
          <w:szCs w:val="24"/>
          <w:lang w:val="en-US" w:eastAsia="zh-CN"/>
        </w:rPr>
        <w:t>2.1.1安全风险管理领导小组成员</w:t>
      </w:r>
    </w:p>
    <w:p w14:paraId="7B4A0DDB">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ascii="宋体" w:hAnsi="宋体" w:eastAsia="宋体" w:cs="宋体"/>
          <w:color w:val="0000FF"/>
          <w:kern w:val="0"/>
          <w:sz w:val="22"/>
          <w:szCs w:val="22"/>
          <w:lang w:val="en-US" w:eastAsia="zh-CN" w:bidi="ar"/>
        </w:rPr>
        <w:t>组长：</w:t>
      </w:r>
    </w:p>
    <w:p w14:paraId="03239378">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hAnsi="宋体" w:cs="宋体"/>
          <w:color w:val="0000FF"/>
          <w:kern w:val="0"/>
          <w:sz w:val="22"/>
          <w:szCs w:val="22"/>
          <w:lang w:val="en-US" w:eastAsia="zh-CN" w:bidi="ar"/>
        </w:rPr>
        <w:t>副组长：</w:t>
      </w:r>
    </w:p>
    <w:p w14:paraId="00BBE76F">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ascii="宋体" w:hAnsi="宋体" w:eastAsia="宋体" w:cs="宋体"/>
          <w:color w:val="0000FF"/>
          <w:kern w:val="0"/>
          <w:sz w:val="22"/>
          <w:szCs w:val="22"/>
          <w:lang w:val="en-US" w:eastAsia="zh-CN" w:bidi="ar"/>
        </w:rPr>
        <w:t>成员：</w:t>
      </w:r>
    </w:p>
    <w:p w14:paraId="1933508B">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eastAsia"/>
          <w:sz w:val="24"/>
          <w:szCs w:val="24"/>
          <w:lang w:val="en-US" w:eastAsia="zh-CN"/>
        </w:rPr>
      </w:pPr>
      <w:r>
        <w:rPr>
          <w:rFonts w:hint="eastAsia"/>
          <w:sz w:val="24"/>
          <w:szCs w:val="24"/>
          <w:lang w:val="en-US" w:eastAsia="zh-CN"/>
        </w:rPr>
        <w:t>2.1.2安全风险管理领导小组职责</w:t>
      </w:r>
    </w:p>
    <w:p w14:paraId="78C9BF60">
      <w:pPr>
        <w:keepNext w:val="0"/>
        <w:keepLines w:val="0"/>
        <w:widowControl/>
        <w:suppressLineNumbers w:val="0"/>
        <w:ind w:firstLine="220" w:firstLineChars="1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安全风险管理领导小组组长负责危险源辨识和风险评价领导工作</w:t>
      </w:r>
      <w:r>
        <w:rPr>
          <w:rFonts w:hint="eastAsia" w:hAnsi="宋体" w:cs="宋体"/>
          <w:color w:val="000000"/>
          <w:kern w:val="0"/>
          <w:sz w:val="22"/>
          <w:szCs w:val="22"/>
          <w:lang w:val="en-US" w:eastAsia="zh-CN" w:bidi="ar"/>
        </w:rPr>
        <w:t>；</w:t>
      </w:r>
    </w:p>
    <w:p w14:paraId="513CA363">
      <w:pPr>
        <w:keepNext w:val="0"/>
        <w:keepLines w:val="0"/>
        <w:widowControl/>
        <w:suppressLineNumbers w:val="0"/>
        <w:ind w:firstLine="220" w:firstLineChars="1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安全风险管理领导小组副组长负责组织制定危险源辨识方案、风险评价程序和指导书，明确风险评价的目的、范围等</w:t>
      </w:r>
      <w:r>
        <w:rPr>
          <w:rFonts w:hint="eastAsia" w:hAnsi="宋体" w:cs="宋体"/>
          <w:color w:val="000000"/>
          <w:kern w:val="0"/>
          <w:sz w:val="22"/>
          <w:szCs w:val="22"/>
          <w:lang w:val="en-US" w:eastAsia="zh-CN" w:bidi="ar"/>
        </w:rPr>
        <w:t>；</w:t>
      </w:r>
    </w:p>
    <w:p w14:paraId="15EA40AE">
      <w:pPr>
        <w:keepNext w:val="0"/>
        <w:keepLines w:val="0"/>
        <w:widowControl/>
        <w:suppressLineNumbers w:val="0"/>
        <w:ind w:firstLine="220" w:firstLineChars="1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安全管理部门负责审查各单位确定的风险评价准则，负责公司重大风险分析记录的审查与控制效果验收，建立、更新危险源档案，定期进行风险信息更新</w:t>
      </w:r>
      <w:r>
        <w:rPr>
          <w:rFonts w:hint="eastAsia" w:hAnsi="宋体" w:cs="宋体"/>
          <w:color w:val="000000"/>
          <w:kern w:val="0"/>
          <w:sz w:val="22"/>
          <w:szCs w:val="22"/>
          <w:lang w:val="en-US" w:eastAsia="zh-CN" w:bidi="ar"/>
        </w:rPr>
        <w:t>；</w:t>
      </w:r>
    </w:p>
    <w:p w14:paraId="78874DB9">
      <w:pPr>
        <w:keepNext w:val="0"/>
        <w:keepLines w:val="0"/>
        <w:widowControl/>
        <w:suppressLineNumbers w:val="0"/>
        <w:ind w:firstLine="220" w:firstLineChars="100"/>
        <w:jc w:val="left"/>
        <w:rPr>
          <w:rFonts w:hint="eastAsia" w:hAnsi="宋体"/>
          <w:color w:val="000000"/>
          <w:szCs w:val="26"/>
        </w:rPr>
      </w:pPr>
      <w:r>
        <w:rPr>
          <w:rFonts w:hint="eastAsia" w:hAnsi="宋体" w:cs="宋体"/>
          <w:color w:val="000000"/>
          <w:kern w:val="0"/>
          <w:sz w:val="22"/>
          <w:szCs w:val="22"/>
          <w:lang w:val="en-US" w:eastAsia="zh-CN" w:bidi="ar"/>
        </w:rPr>
        <w:t>（4）各领导</w:t>
      </w:r>
      <w:r>
        <w:rPr>
          <w:rFonts w:hint="eastAsia" w:ascii="宋体" w:hAnsi="宋体" w:eastAsia="宋体" w:cs="宋体"/>
          <w:color w:val="000000"/>
          <w:kern w:val="0"/>
          <w:sz w:val="22"/>
          <w:szCs w:val="22"/>
          <w:lang w:val="en-US" w:eastAsia="zh-CN" w:bidi="ar"/>
        </w:rPr>
        <w:t>工作小组人员应负责组织、参与危险源辨识和风险评价工作，提供相关资料，鼓励从业人员积极参与风险评价和风险控制。</w:t>
      </w:r>
    </w:p>
    <w:p w14:paraId="783624C5">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FF"/>
          <w:kern w:val="0"/>
          <w:sz w:val="22"/>
          <w:szCs w:val="22"/>
          <w:lang w:val="en-US" w:eastAsia="zh-CN" w:bidi="ar"/>
        </w:rPr>
        <w:t>由</w:t>
      </w:r>
      <w:r>
        <w:rPr>
          <w:rFonts w:hint="eastAsia" w:ascii="宋体" w:hAnsi="宋体" w:eastAsia="宋体" w:cs="宋体"/>
          <w:color w:val="0000FF"/>
          <w:kern w:val="0"/>
          <w:sz w:val="22"/>
          <w:szCs w:val="22"/>
          <w:lang w:val="en-US" w:eastAsia="zh-CN" w:bidi="ar"/>
        </w:rPr>
        <w:t>安全、生产、技术、设备等各类专业技术人员组成的安全风险管理</w:t>
      </w:r>
      <w:r>
        <w:rPr>
          <w:rFonts w:hint="eastAsia" w:hAnsi="宋体" w:cs="宋体"/>
          <w:color w:val="0000FF"/>
          <w:kern w:val="0"/>
          <w:sz w:val="22"/>
          <w:szCs w:val="22"/>
          <w:lang w:val="en-US" w:eastAsia="zh-CN" w:bidi="ar"/>
        </w:rPr>
        <w:t>专业</w:t>
      </w:r>
      <w:r>
        <w:rPr>
          <w:rFonts w:hint="eastAsia" w:ascii="宋体" w:hAnsi="宋体" w:eastAsia="宋体" w:cs="宋体"/>
          <w:color w:val="0000FF"/>
          <w:kern w:val="0"/>
          <w:sz w:val="22"/>
          <w:szCs w:val="22"/>
          <w:lang w:val="en-US" w:eastAsia="zh-CN" w:bidi="ar"/>
        </w:rPr>
        <w:t>工作小组，</w:t>
      </w:r>
      <w:r>
        <w:rPr>
          <w:rFonts w:hint="eastAsia" w:ascii="宋体" w:hAnsi="宋体" w:eastAsia="宋体" w:cs="宋体"/>
          <w:color w:val="000000"/>
          <w:kern w:val="0"/>
          <w:sz w:val="22"/>
          <w:szCs w:val="22"/>
          <w:lang w:val="en-US" w:eastAsia="zh-CN" w:bidi="ar"/>
        </w:rPr>
        <w:t>负责</w:t>
      </w:r>
      <w:r>
        <w:rPr>
          <w:rFonts w:hint="eastAsia" w:hAnsi="宋体" w:cs="宋体"/>
          <w:color w:val="000000"/>
          <w:kern w:val="0"/>
          <w:sz w:val="22"/>
          <w:szCs w:val="22"/>
          <w:lang w:val="en-US" w:eastAsia="zh-CN" w:bidi="ar"/>
        </w:rPr>
        <w:t>具体的</w:t>
      </w:r>
      <w:r>
        <w:rPr>
          <w:rFonts w:hint="eastAsia" w:ascii="宋体" w:hAnsi="宋体" w:eastAsia="宋体" w:cs="宋体"/>
          <w:color w:val="000000"/>
          <w:kern w:val="0"/>
          <w:sz w:val="22"/>
          <w:szCs w:val="22"/>
          <w:lang w:val="en-US" w:eastAsia="zh-CN" w:bidi="ar"/>
        </w:rPr>
        <w:t>推进公司安全风险辨识、分级管控工作</w:t>
      </w:r>
      <w:r>
        <w:rPr>
          <w:rFonts w:hint="eastAsia" w:hAnsi="宋体" w:cs="宋体"/>
          <w:color w:val="000000"/>
          <w:kern w:val="0"/>
          <w:sz w:val="22"/>
          <w:szCs w:val="22"/>
          <w:lang w:val="en-US" w:eastAsia="zh-CN" w:bidi="ar"/>
        </w:rPr>
        <w:t>。</w:t>
      </w:r>
    </w:p>
    <w:p w14:paraId="20397AFC">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default"/>
          <w:sz w:val="24"/>
          <w:szCs w:val="24"/>
          <w:lang w:val="en-US" w:eastAsia="zh-CN"/>
        </w:rPr>
      </w:pPr>
      <w:r>
        <w:rPr>
          <w:rFonts w:hint="eastAsia"/>
          <w:sz w:val="24"/>
          <w:szCs w:val="24"/>
          <w:lang w:val="en-US" w:eastAsia="zh-CN"/>
        </w:rPr>
        <w:t>2.1.3 安全风险管理专业工作小组成员</w:t>
      </w:r>
    </w:p>
    <w:p w14:paraId="6A908FDB">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ascii="宋体" w:hAnsi="宋体" w:eastAsia="宋体" w:cs="宋体"/>
          <w:color w:val="0000FF"/>
          <w:kern w:val="0"/>
          <w:sz w:val="22"/>
          <w:szCs w:val="22"/>
          <w:lang w:val="en-US" w:eastAsia="zh-CN" w:bidi="ar"/>
        </w:rPr>
        <w:t>组长：</w:t>
      </w:r>
    </w:p>
    <w:p w14:paraId="2F5C1994">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hAnsi="宋体" w:cs="宋体"/>
          <w:color w:val="0000FF"/>
          <w:kern w:val="0"/>
          <w:sz w:val="22"/>
          <w:szCs w:val="22"/>
          <w:lang w:val="en-US" w:eastAsia="zh-CN" w:bidi="ar"/>
        </w:rPr>
        <w:t>副组长：</w:t>
      </w:r>
    </w:p>
    <w:p w14:paraId="0EE2EC62">
      <w:pPr>
        <w:keepNext w:val="0"/>
        <w:keepLines w:val="0"/>
        <w:widowControl/>
        <w:suppressLineNumbers w:val="0"/>
        <w:ind w:firstLine="440" w:firstLineChars="200"/>
        <w:jc w:val="left"/>
        <w:rPr>
          <w:rFonts w:hint="eastAsia" w:ascii="宋体" w:hAnsi="宋体" w:eastAsia="宋体" w:cs="宋体"/>
          <w:color w:val="0000FF"/>
          <w:kern w:val="0"/>
          <w:sz w:val="22"/>
          <w:szCs w:val="22"/>
          <w:lang w:val="en-US" w:eastAsia="zh-CN" w:bidi="ar"/>
        </w:rPr>
      </w:pPr>
      <w:r>
        <w:rPr>
          <w:rFonts w:hint="eastAsia" w:ascii="宋体" w:hAnsi="宋体" w:eastAsia="宋体" w:cs="宋体"/>
          <w:color w:val="0000FF"/>
          <w:kern w:val="0"/>
          <w:sz w:val="22"/>
          <w:szCs w:val="22"/>
          <w:lang w:val="en-US" w:eastAsia="zh-CN" w:bidi="ar"/>
        </w:rPr>
        <w:t>成员：</w:t>
      </w:r>
    </w:p>
    <w:p w14:paraId="0A27EEE1">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eastAsia"/>
          <w:sz w:val="24"/>
          <w:szCs w:val="24"/>
          <w:lang w:val="en-US" w:eastAsia="zh-CN"/>
        </w:rPr>
      </w:pPr>
      <w:r>
        <w:rPr>
          <w:rFonts w:hint="eastAsia"/>
          <w:sz w:val="24"/>
          <w:szCs w:val="24"/>
          <w:lang w:val="en-US" w:eastAsia="zh-CN"/>
        </w:rPr>
        <w:t>2.1.4 安全风险管理专业工作小组职责</w:t>
      </w:r>
    </w:p>
    <w:p w14:paraId="3A16F649">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1）组长职责</w:t>
      </w:r>
    </w:p>
    <w:p w14:paraId="53EE6C62">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组织、监督、指导、考核安全生产风险分级管控工作的开展及各项措施的落实</w:t>
      </w:r>
      <w:r>
        <w:rPr>
          <w:rFonts w:hint="eastAsia"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 xml:space="preserve"> </w:t>
      </w:r>
    </w:p>
    <w:p w14:paraId="23FCD2E8">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确保获得建立、实施、保持和持续改进生产风险分级管控工作所需的资源</w:t>
      </w:r>
      <w:r>
        <w:rPr>
          <w:rFonts w:hint="eastAsia"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确定人员职责</w:t>
      </w:r>
      <w:r>
        <w:rPr>
          <w:rFonts w:hint="eastAsia" w:hAnsi="宋体" w:cs="宋体"/>
          <w:color w:val="000000"/>
          <w:kern w:val="0"/>
          <w:sz w:val="22"/>
          <w:szCs w:val="22"/>
          <w:lang w:val="en-US" w:eastAsia="zh-CN" w:bidi="ar"/>
        </w:rPr>
        <w:t>；</w:t>
      </w:r>
    </w:p>
    <w:p w14:paraId="697A8A80">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传达学习和贯彻关于生产风险管控工作有关政府文件、精神和要求</w:t>
      </w:r>
      <w:r>
        <w:rPr>
          <w:rFonts w:hint="eastAsia"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 xml:space="preserve"> </w:t>
      </w:r>
    </w:p>
    <w:p w14:paraId="48DC1381">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组织编制符合要求、满足公司实际运行状况的《安全生产风险分级管控实施方案》</w:t>
      </w:r>
      <w:r>
        <w:rPr>
          <w:rFonts w:hint="eastAsia" w:hAnsi="宋体" w:cs="宋体"/>
          <w:color w:val="000000"/>
          <w:kern w:val="0"/>
          <w:sz w:val="22"/>
          <w:szCs w:val="22"/>
          <w:lang w:val="en-US" w:eastAsia="zh-CN" w:bidi="ar"/>
        </w:rPr>
        <w:t>；</w:t>
      </w:r>
    </w:p>
    <w:p w14:paraId="0AF8659A">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全面展开工作，明确各单位进度和质量要求，适时指导和调度，并制定考核办法</w:t>
      </w:r>
      <w:r>
        <w:rPr>
          <w:rFonts w:hint="eastAsia" w:hAnsi="宋体" w:cs="宋体"/>
          <w:color w:val="000000"/>
          <w:kern w:val="0"/>
          <w:sz w:val="22"/>
          <w:szCs w:val="22"/>
          <w:lang w:val="en-US" w:eastAsia="zh-CN" w:bidi="ar"/>
        </w:rPr>
        <w:t>；</w:t>
      </w:r>
    </w:p>
    <w:p w14:paraId="146063D3">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确保企业全员参与风险分级管控体系，重点监督、指导领导小组、工作小组及其他人员履行职责</w:t>
      </w:r>
      <w:r>
        <w:rPr>
          <w:rFonts w:hint="eastAsia" w:hAnsi="宋体" w:cs="宋体"/>
          <w:color w:val="000000"/>
          <w:kern w:val="0"/>
          <w:sz w:val="22"/>
          <w:szCs w:val="22"/>
          <w:lang w:val="en-US" w:eastAsia="zh-CN" w:bidi="ar"/>
        </w:rPr>
        <w:t>；</w:t>
      </w:r>
    </w:p>
    <w:p w14:paraId="6AD7AF19">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定期召开安全生产风险分级管控工作专题会，固化成果、健全档案，持续降低事故风险。 </w:t>
      </w:r>
    </w:p>
    <w:p w14:paraId="006268F7">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副组长职责</w:t>
      </w:r>
    </w:p>
    <w:p w14:paraId="7FB2C2C4">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对员工进行安全生产风险分级管控体系建设宣贯和培训</w:t>
      </w:r>
      <w:r>
        <w:rPr>
          <w:rFonts w:hint="eastAsia" w:hAnsi="宋体" w:cs="宋体"/>
          <w:color w:val="000000"/>
          <w:kern w:val="0"/>
          <w:sz w:val="22"/>
          <w:szCs w:val="22"/>
          <w:lang w:val="en-US" w:eastAsia="zh-CN" w:bidi="ar"/>
        </w:rPr>
        <w:t>；</w:t>
      </w:r>
    </w:p>
    <w:p w14:paraId="7211D0B8">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组织起草安全生产风险分级管控体系建设工作方案和有关体系文件，负责指导和监督各专业工作小组开展情况，负责组织对全公司风险结果评审</w:t>
      </w:r>
      <w:r>
        <w:rPr>
          <w:rFonts w:hint="eastAsia" w:hAnsi="宋体" w:cs="宋体"/>
          <w:color w:val="000000"/>
          <w:kern w:val="0"/>
          <w:sz w:val="22"/>
          <w:szCs w:val="22"/>
          <w:lang w:val="en-US" w:eastAsia="zh-CN" w:bidi="ar"/>
        </w:rPr>
        <w:t>；</w:t>
      </w:r>
    </w:p>
    <w:p w14:paraId="2156DD58">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做好危险源识别、风险分级评价及风险管控的过程控制，组织排查风险点、作业步骤确认、危险源辨识、风险评价、风险分级管控、确定重大风险</w:t>
      </w:r>
      <w:r>
        <w:rPr>
          <w:rFonts w:hint="eastAsia" w:hAnsi="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负责将体系建设工作纳入安全生产绩效考核、安全生产责任制考核，确保实现“全员、全过程、全方位、全天候”的风险管控。</w:t>
      </w:r>
    </w:p>
    <w:p w14:paraId="129E51BF">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 xml:space="preserve">3） </w:t>
      </w:r>
      <w:r>
        <w:rPr>
          <w:rFonts w:hint="eastAsia" w:ascii="宋体" w:hAnsi="宋体" w:eastAsia="宋体" w:cs="宋体"/>
          <w:color w:val="000000"/>
          <w:kern w:val="0"/>
          <w:sz w:val="22"/>
          <w:szCs w:val="22"/>
          <w:lang w:val="en-US" w:eastAsia="zh-CN" w:bidi="ar"/>
        </w:rPr>
        <w:t>成员职责：</w:t>
      </w:r>
    </w:p>
    <w:p w14:paraId="6CC58BFA">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按照“分级管理、分线负责”、“管业务必须管安全”的原则，各成员具体落实安全生产风险分级管控与隐患排查体系建设过程中的具体工作，完成各自区域内和本业务范围内的风险点识别、风险分级及风险评价，对评价结果负责</w:t>
      </w:r>
      <w:r>
        <w:rPr>
          <w:rFonts w:hint="eastAsia" w:hAnsi="宋体" w:cs="宋体"/>
          <w:color w:val="000000"/>
          <w:kern w:val="0"/>
          <w:sz w:val="22"/>
          <w:szCs w:val="22"/>
          <w:lang w:val="en-US" w:eastAsia="zh-CN" w:bidi="ar"/>
        </w:rPr>
        <w:t>；</w:t>
      </w:r>
    </w:p>
    <w:p w14:paraId="058B3B5D">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制定风险点分级管控措施，并在工作现场制作悬挂风险管控标识牌</w:t>
      </w:r>
      <w:r>
        <w:rPr>
          <w:rFonts w:hint="eastAsia" w:hAnsi="宋体" w:cs="宋体"/>
          <w:color w:val="000000"/>
          <w:kern w:val="0"/>
          <w:sz w:val="22"/>
          <w:szCs w:val="22"/>
          <w:lang w:val="en-US" w:eastAsia="zh-CN" w:bidi="ar"/>
        </w:rPr>
        <w:t>；</w:t>
      </w:r>
    </w:p>
    <w:p w14:paraId="0739C216">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建立常态机制、加强动态管理，每年至少一次对风险点进行调整，遇有法规变动、重大人事调整、工艺变更、更改扩项目、原料、设备、产品变动等及时进行风险评估，确保风险点的安全。</w:t>
      </w:r>
    </w:p>
    <w:p w14:paraId="54F7DDF3">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eastAsia"/>
          <w:sz w:val="24"/>
          <w:szCs w:val="24"/>
          <w:lang w:val="en-US" w:eastAsia="zh-CN"/>
        </w:rPr>
      </w:pPr>
      <w:r>
        <w:rPr>
          <w:rFonts w:hint="eastAsia"/>
          <w:sz w:val="24"/>
          <w:szCs w:val="24"/>
          <w:lang w:val="en-US" w:eastAsia="zh-CN"/>
        </w:rPr>
        <w:t>2.2 实施全员培训</w:t>
      </w:r>
      <w:bookmarkEnd w:id="13"/>
      <w:bookmarkEnd w:id="14"/>
      <w:bookmarkEnd w:id="15"/>
      <w:bookmarkEnd w:id="16"/>
      <w:bookmarkEnd w:id="19"/>
    </w:p>
    <w:p w14:paraId="7C063546">
      <w:pPr>
        <w:pStyle w:val="29"/>
        <w:spacing w:beforeLines="50" w:afterLines="50"/>
        <w:rPr>
          <w:sz w:val="22"/>
          <w:szCs w:val="22"/>
        </w:rPr>
      </w:pPr>
      <w:r>
        <w:rPr>
          <w:rFonts w:hint="eastAsia"/>
          <w:sz w:val="22"/>
          <w:szCs w:val="22"/>
        </w:rPr>
        <w:t>风险分级管控培训应做到全员参与全方位覆盖，企业将该项培训纳入到年度安全培训计划中，划分层次组织培训</w:t>
      </w:r>
      <w:r>
        <w:rPr>
          <w:rFonts w:hint="eastAsia"/>
          <w:sz w:val="22"/>
          <w:szCs w:val="22"/>
          <w:lang w:eastAsia="zh-CN"/>
        </w:rPr>
        <w:t>，具体实施计划见</w:t>
      </w:r>
      <w:r>
        <w:rPr>
          <w:rFonts w:hint="eastAsia"/>
          <w:color w:val="0000FF"/>
          <w:sz w:val="22"/>
          <w:szCs w:val="22"/>
          <w:lang w:eastAsia="zh-CN"/>
        </w:rPr>
        <w:t>《安全风险评估培训计划》</w:t>
      </w:r>
      <w:r>
        <w:rPr>
          <w:rFonts w:hint="eastAsia"/>
          <w:color w:val="0000FF"/>
          <w:sz w:val="22"/>
          <w:szCs w:val="22"/>
        </w:rPr>
        <w:t>。</w:t>
      </w:r>
    </w:p>
    <w:p w14:paraId="6C881D6F">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eastAsia"/>
          <w:sz w:val="24"/>
          <w:szCs w:val="24"/>
          <w:lang w:val="en-US" w:eastAsia="zh-CN"/>
        </w:rPr>
      </w:pPr>
      <w:r>
        <w:rPr>
          <w:rFonts w:hint="eastAsia"/>
          <w:sz w:val="24"/>
          <w:szCs w:val="24"/>
          <w:lang w:val="en-US" w:eastAsia="zh-CN"/>
        </w:rPr>
        <w:t>2.2.1 培训职责</w:t>
      </w:r>
    </w:p>
    <w:p w14:paraId="0C22A2FC">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（1）公司总经理确保风险分级管控培训能够满足全体员工的需要，并提供必要的培训条件；</w:t>
      </w:r>
    </w:p>
    <w:p w14:paraId="1BCD908A">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（2）</w:t>
      </w:r>
      <w:r>
        <w:rPr>
          <w:rFonts w:hint="eastAsia"/>
          <w:color w:val="0000FF"/>
          <w:sz w:val="22"/>
          <w:szCs w:val="22"/>
          <w:lang w:val="en-US" w:eastAsia="zh-CN"/>
        </w:rPr>
        <w:t>XXX</w:t>
      </w:r>
      <w:r>
        <w:rPr>
          <w:rFonts w:hint="eastAsia"/>
          <w:color w:val="0000FF"/>
          <w:sz w:val="22"/>
          <w:szCs w:val="22"/>
        </w:rPr>
        <w:t>部</w:t>
      </w:r>
      <w:r>
        <w:rPr>
          <w:rFonts w:hint="eastAsia"/>
          <w:sz w:val="22"/>
          <w:szCs w:val="22"/>
        </w:rPr>
        <w:t>负责制定年度安全培训计划及风险分级管控培训的实施、考核；</w:t>
      </w:r>
    </w:p>
    <w:p w14:paraId="1B826D6E">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（3）各车间、部门负责配合管理部培训计划的实施；</w:t>
      </w:r>
    </w:p>
    <w:p w14:paraId="1BEC5D9C">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（4）各车间、部门负责组织实施本部门风险分级管控培训培训与考核。</w:t>
      </w:r>
    </w:p>
    <w:p w14:paraId="306DA169">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eastAsia"/>
          <w:sz w:val="24"/>
          <w:szCs w:val="24"/>
          <w:lang w:val="en-US" w:eastAsia="zh-CN"/>
        </w:rPr>
      </w:pPr>
      <w:r>
        <w:rPr>
          <w:rFonts w:hint="eastAsia"/>
          <w:sz w:val="24"/>
          <w:szCs w:val="24"/>
          <w:lang w:val="en-US" w:eastAsia="zh-CN"/>
        </w:rPr>
        <w:t>2.2.2 培训程序</w:t>
      </w:r>
    </w:p>
    <w:p w14:paraId="22DD5803">
      <w:pPr>
        <w:pStyle w:val="29"/>
        <w:keepNext w:val="0"/>
        <w:keepLines w:val="0"/>
        <w:pageBreakBefore w:val="0"/>
        <w:widowControl/>
        <w:kinsoku/>
        <w:wordWrap/>
        <w:overflowPunct/>
        <w:topLinePunct w:val="0"/>
        <w:autoSpaceDE w:val="0"/>
        <w:autoSpaceDN w:val="0"/>
        <w:bidi w:val="0"/>
        <w:adjustRightInd/>
        <w:snapToGrid/>
        <w:textAlignment w:val="auto"/>
        <w:rPr>
          <w:rFonts w:hint="eastAsia" w:eastAsia="宋体"/>
          <w:sz w:val="22"/>
          <w:szCs w:val="22"/>
          <w:lang w:eastAsia="zh-CN"/>
        </w:rPr>
      </w:pPr>
      <w:r>
        <w:rPr>
          <w:rFonts w:hint="eastAsia"/>
          <w:sz w:val="22"/>
          <w:szCs w:val="22"/>
        </w:rPr>
        <w:t>（1）培训计划</w:t>
      </w:r>
      <w:r>
        <w:rPr>
          <w:rFonts w:hint="eastAsia"/>
          <w:sz w:val="22"/>
          <w:szCs w:val="22"/>
          <w:lang w:eastAsia="zh-CN"/>
        </w:rPr>
        <w:t>：</w:t>
      </w:r>
      <w:r>
        <w:rPr>
          <w:rFonts w:hint="eastAsia"/>
          <w:color w:val="0000FF"/>
          <w:sz w:val="22"/>
          <w:szCs w:val="22"/>
          <w:lang w:val="en-US" w:eastAsia="zh-CN"/>
        </w:rPr>
        <w:t>XXX</w:t>
      </w:r>
      <w:r>
        <w:rPr>
          <w:rFonts w:hint="eastAsia"/>
          <w:color w:val="0000FF"/>
          <w:sz w:val="22"/>
          <w:szCs w:val="22"/>
        </w:rPr>
        <w:t>部</w:t>
      </w:r>
      <w:r>
        <w:rPr>
          <w:rFonts w:hint="eastAsia"/>
          <w:sz w:val="22"/>
          <w:szCs w:val="22"/>
        </w:rPr>
        <w:t>进行安全培训需求调查，根据调查结果</w:t>
      </w:r>
      <w:r>
        <w:rPr>
          <w:rFonts w:hint="eastAsia"/>
          <w:sz w:val="22"/>
          <w:szCs w:val="22"/>
          <w:lang w:eastAsia="zh-CN"/>
        </w:rPr>
        <w:t>制定</w:t>
      </w:r>
      <w:r>
        <w:rPr>
          <w:rFonts w:hint="eastAsia"/>
          <w:sz w:val="22"/>
          <w:szCs w:val="22"/>
        </w:rPr>
        <w:t>年度安全培训计划，明确培训目标、任务及具体项目</w:t>
      </w:r>
      <w:r>
        <w:rPr>
          <w:rFonts w:hint="eastAsia"/>
          <w:sz w:val="22"/>
          <w:szCs w:val="22"/>
          <w:lang w:eastAsia="zh-CN"/>
        </w:rPr>
        <w:t>；</w:t>
      </w:r>
    </w:p>
    <w:p w14:paraId="512B2043">
      <w:pPr>
        <w:pStyle w:val="29"/>
        <w:keepNext w:val="0"/>
        <w:keepLines w:val="0"/>
        <w:pageBreakBefore w:val="0"/>
        <w:widowControl/>
        <w:kinsoku/>
        <w:wordWrap/>
        <w:overflowPunct/>
        <w:topLinePunct w:val="0"/>
        <w:autoSpaceDE w:val="0"/>
        <w:autoSpaceDN w:val="0"/>
        <w:bidi w:val="0"/>
        <w:adjustRightInd/>
        <w:snapToGrid/>
        <w:textAlignment w:val="auto"/>
        <w:rPr>
          <w:rFonts w:hint="eastAsia" w:eastAsia="宋体"/>
          <w:sz w:val="22"/>
          <w:szCs w:val="22"/>
          <w:lang w:eastAsia="zh-CN"/>
        </w:rPr>
      </w:pPr>
      <w:r>
        <w:rPr>
          <w:rFonts w:hint="eastAsia"/>
          <w:sz w:val="22"/>
          <w:szCs w:val="22"/>
        </w:rPr>
        <w:t>（2）培训内容</w:t>
      </w:r>
      <w:r>
        <w:rPr>
          <w:rFonts w:hint="eastAsia"/>
          <w:sz w:val="22"/>
          <w:szCs w:val="22"/>
          <w:lang w:eastAsia="zh-CN"/>
        </w:rPr>
        <w:t>：</w:t>
      </w:r>
      <w:r>
        <w:rPr>
          <w:rFonts w:hint="eastAsia"/>
          <w:sz w:val="22"/>
          <w:szCs w:val="22"/>
        </w:rPr>
        <w:t>风险分级管控培训主要包括：本企业风险类别、危险源辨识和风险评价方法、风险评价结果、风险管控措施等</w:t>
      </w:r>
      <w:r>
        <w:rPr>
          <w:rFonts w:hint="eastAsia"/>
          <w:sz w:val="22"/>
          <w:szCs w:val="22"/>
          <w:lang w:eastAsia="zh-CN"/>
        </w:rPr>
        <w:t>；</w:t>
      </w:r>
    </w:p>
    <w:p w14:paraId="4B408B18">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（3）</w:t>
      </w:r>
      <w:r>
        <w:rPr>
          <w:rFonts w:hint="eastAsia"/>
          <w:color w:val="0000FF"/>
          <w:sz w:val="22"/>
          <w:szCs w:val="22"/>
          <w:lang w:val="en-US" w:eastAsia="zh-CN"/>
        </w:rPr>
        <w:t>XXX</w:t>
      </w:r>
      <w:r>
        <w:rPr>
          <w:rFonts w:hint="eastAsia"/>
          <w:color w:val="0000FF"/>
          <w:sz w:val="22"/>
          <w:szCs w:val="22"/>
        </w:rPr>
        <w:t>部</w:t>
      </w:r>
      <w:r>
        <w:rPr>
          <w:rFonts w:hint="eastAsia"/>
          <w:sz w:val="22"/>
          <w:szCs w:val="22"/>
        </w:rPr>
        <w:t>对各级风险分级管控培训记录存档，并组织进行安全培训效果评价和考核。</w:t>
      </w:r>
    </w:p>
    <w:p w14:paraId="5DDE6E9C">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0"/>
        <w:rPr>
          <w:rFonts w:hint="eastAsia"/>
          <w:sz w:val="24"/>
          <w:szCs w:val="24"/>
          <w:lang w:val="en-US" w:eastAsia="zh-CN"/>
        </w:rPr>
      </w:pPr>
      <w:bookmarkStart w:id="20" w:name="_Toc475021502"/>
      <w:bookmarkStart w:id="21" w:name="_Toc472504996"/>
      <w:bookmarkStart w:id="22" w:name="_Toc472947759"/>
      <w:bookmarkStart w:id="23" w:name="_Toc1921"/>
      <w:r>
        <w:rPr>
          <w:rFonts w:hint="eastAsia"/>
          <w:sz w:val="24"/>
          <w:szCs w:val="24"/>
          <w:lang w:val="en-US" w:eastAsia="zh-CN"/>
        </w:rPr>
        <w:t>三 工作程序</w:t>
      </w:r>
      <w:bookmarkEnd w:id="17"/>
      <w:bookmarkEnd w:id="18"/>
      <w:r>
        <w:rPr>
          <w:rFonts w:hint="eastAsia"/>
          <w:sz w:val="24"/>
          <w:szCs w:val="24"/>
          <w:lang w:val="en-US" w:eastAsia="zh-CN"/>
        </w:rPr>
        <w:t>和内容</w:t>
      </w:r>
      <w:bookmarkEnd w:id="20"/>
      <w:bookmarkEnd w:id="21"/>
      <w:bookmarkEnd w:id="22"/>
      <w:bookmarkEnd w:id="23"/>
    </w:p>
    <w:p w14:paraId="5C02A930">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default"/>
          <w:sz w:val="24"/>
          <w:szCs w:val="24"/>
          <w:lang w:val="en-US" w:eastAsia="zh-CN"/>
        </w:rPr>
      </w:pPr>
      <w:r>
        <w:rPr>
          <w:rFonts w:hint="eastAsia"/>
          <w:sz w:val="24"/>
          <w:szCs w:val="24"/>
          <w:lang w:val="en-US" w:eastAsia="zh-CN"/>
        </w:rPr>
        <w:t>3.1 收集相关资料</w:t>
      </w:r>
    </w:p>
    <w:p w14:paraId="6F42C3E4">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为全面识别、系统评价风险点、危险源及准确管控措施，应收集必要的企业现状信息、相关法律及其他相关信息，可包括：</w:t>
      </w:r>
    </w:p>
    <w:p w14:paraId="7F477B26">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（1）与企业相关的安全、职业卫生法律、法规、标准、规程、规范及其他要求；</w:t>
      </w:r>
    </w:p>
    <w:p w14:paraId="2AAD46B5">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（2）企业平面布局图及周边环境；</w:t>
      </w:r>
    </w:p>
    <w:p w14:paraId="62004DAA">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（3）企业组织机构图；</w:t>
      </w:r>
    </w:p>
    <w:p w14:paraId="2520AEE9">
      <w:pPr>
        <w:pStyle w:val="29"/>
        <w:keepNext w:val="0"/>
        <w:keepLines w:val="0"/>
        <w:pageBreakBefore w:val="0"/>
        <w:widowControl/>
        <w:kinsoku/>
        <w:wordWrap/>
        <w:overflowPunct/>
        <w:topLinePunct w:val="0"/>
        <w:autoSpaceDE w:val="0"/>
        <w:autoSpaceDN w:val="0"/>
        <w:bidi w:val="0"/>
        <w:adjustRightInd/>
        <w:snapToGrid/>
        <w:textAlignment w:val="auto"/>
        <w:rPr>
          <w:rFonts w:hint="eastAsia"/>
          <w:sz w:val="22"/>
          <w:szCs w:val="22"/>
        </w:rPr>
      </w:pPr>
      <w:r>
        <w:rPr>
          <w:rFonts w:hint="eastAsia"/>
          <w:sz w:val="22"/>
          <w:szCs w:val="22"/>
        </w:rPr>
        <w:t>（4）工艺流程图</w:t>
      </w:r>
      <w:r>
        <w:rPr>
          <w:rFonts w:hint="eastAsia"/>
          <w:sz w:val="22"/>
          <w:szCs w:val="22"/>
          <w:lang w:eastAsia="zh-CN"/>
        </w:rPr>
        <w:t>、</w:t>
      </w:r>
      <w:r>
        <w:rPr>
          <w:rFonts w:hint="eastAsia"/>
          <w:sz w:val="22"/>
          <w:szCs w:val="22"/>
        </w:rPr>
        <w:t>主要生产设备清单（包括特种设备，可单列）</w:t>
      </w:r>
      <w:r>
        <w:rPr>
          <w:rFonts w:hint="eastAsia"/>
          <w:sz w:val="22"/>
          <w:szCs w:val="22"/>
          <w:lang w:eastAsia="zh-CN"/>
        </w:rPr>
        <w:t>及岗位活动清单</w:t>
      </w:r>
      <w:r>
        <w:rPr>
          <w:rFonts w:hint="eastAsia"/>
          <w:sz w:val="22"/>
          <w:szCs w:val="22"/>
        </w:rPr>
        <w:t>；</w:t>
      </w:r>
    </w:p>
    <w:p w14:paraId="18FF83CE">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（5）安全管理制度和各类操作规程；</w:t>
      </w:r>
    </w:p>
    <w:p w14:paraId="0493A5F7">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（6）外协或外包的类型（如设备设施维修、产品装卸等）；</w:t>
      </w:r>
    </w:p>
    <w:p w14:paraId="5F9662F9">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（7）原料、辅材、中间产品、最终产品清单；</w:t>
      </w:r>
    </w:p>
    <w:p w14:paraId="76C4A800">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（8）过去已识别的危险源识别清单、重要危险源清单，对应的措施；</w:t>
      </w:r>
    </w:p>
    <w:p w14:paraId="4EE587CA">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（9）风险点及危险源识别、评价及控制方法文件、制度或指南；</w:t>
      </w:r>
    </w:p>
    <w:p w14:paraId="423B31CB">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（10）经过安监部门备案的应急预案文本；</w:t>
      </w:r>
    </w:p>
    <w:p w14:paraId="4BD07340">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（11）各岗位职责或安全生产责任制；</w:t>
      </w:r>
    </w:p>
    <w:p w14:paraId="2BC82887">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（12）特种作业人员或需持证上岗人员台账；</w:t>
      </w:r>
    </w:p>
    <w:p w14:paraId="614E68B9">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（13）企业隐患排查表、专业检查表；</w:t>
      </w:r>
    </w:p>
    <w:p w14:paraId="771D97EB">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（14）安全评价报告（预评价、验收评价或现状评价）；</w:t>
      </w:r>
    </w:p>
    <w:p w14:paraId="15B22969">
      <w:pPr>
        <w:pStyle w:val="29"/>
        <w:keepNext w:val="0"/>
        <w:keepLines w:val="0"/>
        <w:pageBreakBefore w:val="0"/>
        <w:widowControl/>
        <w:kinsoku/>
        <w:wordWrap/>
        <w:overflowPunct/>
        <w:topLinePunct w:val="0"/>
        <w:autoSpaceDE w:val="0"/>
        <w:autoSpaceDN w:val="0"/>
        <w:bidi w:val="0"/>
        <w:adjustRightInd/>
        <w:snapToGrid/>
        <w:textAlignment w:val="auto"/>
        <w:rPr>
          <w:rFonts w:hint="eastAsia"/>
          <w:sz w:val="22"/>
          <w:szCs w:val="22"/>
          <w:lang w:eastAsia="zh-CN"/>
        </w:rPr>
      </w:pPr>
      <w:r>
        <w:rPr>
          <w:rFonts w:hint="eastAsia"/>
          <w:sz w:val="22"/>
          <w:szCs w:val="22"/>
        </w:rPr>
        <w:t>（15）职业危害评价报告与监测资料等</w:t>
      </w:r>
      <w:r>
        <w:rPr>
          <w:rFonts w:hint="eastAsia"/>
          <w:sz w:val="22"/>
          <w:szCs w:val="22"/>
          <w:lang w:eastAsia="zh-CN"/>
        </w:rPr>
        <w:t>。</w:t>
      </w:r>
    </w:p>
    <w:p w14:paraId="4888A28B">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24" w:name="_Toc472504997"/>
      <w:bookmarkStart w:id="25" w:name="_Toc470188646"/>
      <w:bookmarkStart w:id="26" w:name="_Toc20284"/>
      <w:bookmarkStart w:id="27" w:name="_Toc472947760"/>
      <w:bookmarkStart w:id="28" w:name="_Toc468959288"/>
      <w:bookmarkStart w:id="29" w:name="_Toc475021503"/>
      <w:bookmarkStart w:id="30" w:name="_Toc468797564"/>
      <w:bookmarkStart w:id="31" w:name="_Toc468956172"/>
      <w:r>
        <w:rPr>
          <w:rFonts w:hint="eastAsia"/>
          <w:sz w:val="24"/>
          <w:szCs w:val="24"/>
          <w:lang w:val="en-US" w:eastAsia="zh-CN"/>
        </w:rPr>
        <w:t>3.2 风险点确定</w:t>
      </w:r>
      <w:bookmarkEnd w:id="24"/>
      <w:bookmarkEnd w:id="25"/>
      <w:bookmarkEnd w:id="26"/>
      <w:bookmarkEnd w:id="27"/>
      <w:bookmarkEnd w:id="28"/>
      <w:bookmarkEnd w:id="29"/>
      <w:bookmarkEnd w:id="30"/>
      <w:bookmarkEnd w:id="31"/>
    </w:p>
    <w:p w14:paraId="7E23531A">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rPr>
          <w:rFonts w:hint="eastAsia"/>
          <w:sz w:val="24"/>
          <w:szCs w:val="24"/>
          <w:lang w:val="en-US" w:eastAsia="zh-CN"/>
        </w:rPr>
      </w:pPr>
      <w:bookmarkStart w:id="32" w:name="_Toc479317584"/>
      <w:bookmarkStart w:id="33" w:name="_Toc475086842"/>
      <w:bookmarkStart w:id="34" w:name="_Toc475021504"/>
      <w:bookmarkStart w:id="35" w:name="_Toc465774039"/>
      <w:bookmarkStart w:id="36" w:name="_Toc466564029"/>
      <w:r>
        <w:rPr>
          <w:rFonts w:hint="eastAsia"/>
          <w:sz w:val="24"/>
          <w:szCs w:val="24"/>
          <w:lang w:val="en-US" w:eastAsia="zh-CN"/>
        </w:rPr>
        <w:t>3.2.1风险点划分原则</w:t>
      </w:r>
      <w:bookmarkEnd w:id="32"/>
      <w:bookmarkEnd w:id="33"/>
      <w:bookmarkEnd w:id="34"/>
    </w:p>
    <w:p w14:paraId="1032AA5B">
      <w:pPr>
        <w:pStyle w:val="55"/>
        <w:keepNext w:val="0"/>
        <w:keepLines w:val="0"/>
        <w:pageBreakBefore w:val="0"/>
        <w:widowControl/>
        <w:numPr>
          <w:ilvl w:val="3"/>
          <w:numId w:val="0"/>
        </w:numPr>
        <w:kinsoku/>
        <w:wordWrap/>
        <w:overflowPunct/>
        <w:topLinePunct w:val="0"/>
        <w:bidi w:val="0"/>
        <w:adjustRightInd/>
        <w:snapToGrid/>
        <w:spacing w:before="0" w:beforeLines="0" w:after="0" w:afterLines="0"/>
        <w:ind w:leftChars="0"/>
        <w:textAlignment w:val="auto"/>
        <w:outlineLvl w:val="9"/>
        <w:rPr>
          <w:sz w:val="22"/>
          <w:szCs w:val="22"/>
        </w:rPr>
      </w:pPr>
      <w:r>
        <w:rPr>
          <w:rFonts w:hint="eastAsia"/>
          <w:sz w:val="22"/>
          <w:szCs w:val="22"/>
          <w:lang w:eastAsia="zh-CN"/>
        </w:rPr>
        <w:t>（</w:t>
      </w:r>
      <w:r>
        <w:rPr>
          <w:rFonts w:hint="eastAsia"/>
          <w:sz w:val="22"/>
          <w:szCs w:val="22"/>
          <w:lang w:val="en-US" w:eastAsia="zh-CN"/>
        </w:rPr>
        <w:t>1</w:t>
      </w:r>
      <w:r>
        <w:rPr>
          <w:rFonts w:hint="eastAsia"/>
          <w:sz w:val="22"/>
          <w:szCs w:val="22"/>
          <w:lang w:eastAsia="zh-CN"/>
        </w:rPr>
        <w:t>）</w:t>
      </w:r>
      <w:r>
        <w:rPr>
          <w:rFonts w:hint="eastAsia"/>
          <w:sz w:val="22"/>
          <w:szCs w:val="22"/>
        </w:rPr>
        <w:t>设施、部位、场所、区域</w:t>
      </w:r>
      <w:bookmarkEnd w:id="35"/>
      <w:bookmarkEnd w:id="36"/>
    </w:p>
    <w:p w14:paraId="4868B92F">
      <w:pPr>
        <w:pStyle w:val="29"/>
        <w:keepNext w:val="0"/>
        <w:keepLines w:val="0"/>
        <w:pageBreakBefore w:val="0"/>
        <w:widowControl/>
        <w:kinsoku/>
        <w:wordWrap/>
        <w:overflowPunct/>
        <w:topLinePunct w:val="0"/>
        <w:bidi w:val="0"/>
        <w:adjustRightInd/>
        <w:snapToGrid/>
        <w:textAlignment w:val="auto"/>
        <w:rPr>
          <w:sz w:val="22"/>
          <w:szCs w:val="22"/>
        </w:rPr>
      </w:pPr>
      <w:bookmarkStart w:id="37" w:name="_Toc466564030"/>
      <w:bookmarkStart w:id="38" w:name="_Toc465774040"/>
      <w:r>
        <w:rPr>
          <w:rFonts w:hint="eastAsia"/>
          <w:sz w:val="22"/>
          <w:szCs w:val="22"/>
        </w:rPr>
        <w:t>企业对于风险点的划分应当遵循“大小适中、便于分类、功能独立、易于管理、范围清晰”的原则，一般应按生产作业流程的阶段、场所（区域）、生产设施（装置）、公辅设施等功能分区或上述几种方法的结合进行划分。</w:t>
      </w:r>
    </w:p>
    <w:p w14:paraId="609C3EA5">
      <w:pPr>
        <w:pStyle w:val="29"/>
        <w:keepNext w:val="0"/>
        <w:keepLines w:val="0"/>
        <w:pageBreakBefore w:val="0"/>
        <w:widowControl/>
        <w:kinsoku/>
        <w:wordWrap/>
        <w:overflowPunct/>
        <w:topLinePunct w:val="0"/>
        <w:bidi w:val="0"/>
        <w:adjustRightInd/>
        <w:snapToGrid/>
        <w:textAlignment w:val="auto"/>
        <w:rPr>
          <w:sz w:val="22"/>
          <w:szCs w:val="22"/>
        </w:rPr>
      </w:pPr>
      <w:r>
        <w:rPr>
          <w:rFonts w:hint="eastAsia"/>
          <w:sz w:val="22"/>
          <w:szCs w:val="22"/>
        </w:rPr>
        <w:t>示例：</w:t>
      </w:r>
    </w:p>
    <w:p w14:paraId="4641C80A">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——按场所（区域）划分如生产车间1、生产车间2、化学品仓库等；</w:t>
      </w:r>
    </w:p>
    <w:p w14:paraId="6BCB52BC">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——按照公辅设施划分如配电室、空压机房等；</w:t>
      </w:r>
    </w:p>
    <w:p w14:paraId="22778D78">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——按工艺流程划分如模切生产工艺、检验工艺等；</w:t>
      </w:r>
    </w:p>
    <w:p w14:paraId="594D3CD6">
      <w:pPr>
        <w:keepNext w:val="0"/>
        <w:keepLines w:val="0"/>
        <w:widowControl/>
        <w:suppressLineNumbers w:val="0"/>
        <w:ind w:firstLine="440" w:firstLineChars="200"/>
        <w:jc w:val="left"/>
        <w:rPr>
          <w:rFonts w:hint="eastAsia" w:hAnsi="宋体" w:cs="宋体"/>
          <w:color w:val="000000"/>
          <w:kern w:val="0"/>
          <w:sz w:val="22"/>
          <w:szCs w:val="22"/>
          <w:lang w:val="en-US" w:eastAsia="zh-CN" w:bidi="ar"/>
        </w:rPr>
      </w:pPr>
      <w:r>
        <w:rPr>
          <w:rFonts w:hint="eastAsia" w:hAnsi="宋体" w:cs="宋体"/>
          <w:color w:val="000000"/>
          <w:kern w:val="0"/>
          <w:sz w:val="22"/>
          <w:szCs w:val="22"/>
          <w:lang w:val="en-US" w:eastAsia="zh-CN" w:bidi="ar"/>
        </w:rPr>
        <w:t>——按生产设施（装置）划分如模切机、冲压机等。</w:t>
      </w:r>
    </w:p>
    <w:p w14:paraId="5D78D4C0">
      <w:pPr>
        <w:pStyle w:val="55"/>
        <w:keepNext w:val="0"/>
        <w:keepLines w:val="0"/>
        <w:pageBreakBefore w:val="0"/>
        <w:widowControl/>
        <w:numPr>
          <w:ilvl w:val="3"/>
          <w:numId w:val="0"/>
        </w:numPr>
        <w:kinsoku/>
        <w:wordWrap/>
        <w:overflowPunct/>
        <w:topLinePunct w:val="0"/>
        <w:bidi w:val="0"/>
        <w:adjustRightInd/>
        <w:snapToGrid/>
        <w:spacing w:before="0" w:beforeLines="0" w:after="0" w:afterLines="0"/>
        <w:ind w:leftChars="0"/>
        <w:textAlignment w:val="auto"/>
        <w:outlineLvl w:val="9"/>
        <w:rPr>
          <w:sz w:val="22"/>
          <w:szCs w:val="22"/>
        </w:rPr>
      </w:pPr>
      <w:r>
        <w:rPr>
          <w:rFonts w:hint="eastAsia"/>
          <w:sz w:val="22"/>
          <w:szCs w:val="22"/>
          <w:lang w:eastAsia="zh-CN"/>
        </w:rPr>
        <w:t>（</w:t>
      </w:r>
      <w:r>
        <w:rPr>
          <w:rFonts w:hint="eastAsia"/>
          <w:sz w:val="22"/>
          <w:szCs w:val="22"/>
          <w:lang w:val="en-US" w:eastAsia="zh-CN"/>
        </w:rPr>
        <w:t>2</w:t>
      </w:r>
      <w:r>
        <w:rPr>
          <w:rFonts w:hint="eastAsia"/>
          <w:sz w:val="22"/>
          <w:szCs w:val="22"/>
          <w:lang w:eastAsia="zh-CN"/>
        </w:rPr>
        <w:t>）</w:t>
      </w:r>
      <w:r>
        <w:rPr>
          <w:rFonts w:hint="eastAsia"/>
          <w:sz w:val="22"/>
          <w:szCs w:val="22"/>
        </w:rPr>
        <w:t>操作及作业活动</w:t>
      </w:r>
      <w:bookmarkEnd w:id="37"/>
      <w:bookmarkEnd w:id="38"/>
    </w:p>
    <w:p w14:paraId="27FEEE5A">
      <w:pPr>
        <w:pStyle w:val="29"/>
        <w:keepNext w:val="0"/>
        <w:keepLines w:val="0"/>
        <w:pageBreakBefore w:val="0"/>
        <w:widowControl/>
        <w:kinsoku/>
        <w:wordWrap/>
        <w:overflowPunct/>
        <w:topLinePunct w:val="0"/>
        <w:bidi w:val="0"/>
        <w:adjustRightInd/>
        <w:snapToGrid/>
        <w:textAlignment w:val="auto"/>
        <w:rPr>
          <w:sz w:val="22"/>
          <w:szCs w:val="22"/>
        </w:rPr>
      </w:pPr>
      <w:r>
        <w:rPr>
          <w:rFonts w:hint="eastAsia"/>
          <w:sz w:val="22"/>
          <w:szCs w:val="22"/>
        </w:rPr>
        <w:t>对于操作及作业活动等风险点的划分，应当涵盖企业生产全过程所有常规和非常规状态的作业活动。对于设备的开、停机，检维修、动火、有限空间等操作难度大、技术含量高、风险等级高、可能导致严重后果的作业活动应重点进行管控。</w:t>
      </w:r>
    </w:p>
    <w:p w14:paraId="63D0E79D">
      <w:pPr>
        <w:pStyle w:val="29"/>
        <w:keepNext w:val="0"/>
        <w:keepLines w:val="0"/>
        <w:pageBreakBefore w:val="0"/>
        <w:widowControl/>
        <w:kinsoku/>
        <w:wordWrap/>
        <w:overflowPunct/>
        <w:topLinePunct w:val="0"/>
        <w:bidi w:val="0"/>
        <w:adjustRightInd/>
        <w:snapToGrid/>
        <w:textAlignment w:val="auto"/>
        <w:rPr>
          <w:sz w:val="22"/>
          <w:szCs w:val="22"/>
        </w:rPr>
      </w:pPr>
      <w:r>
        <w:rPr>
          <w:rFonts w:hint="eastAsia"/>
          <w:sz w:val="22"/>
          <w:szCs w:val="22"/>
        </w:rPr>
        <w:t>示例：</w:t>
      </w:r>
    </w:p>
    <w:p w14:paraId="4FD202A4">
      <w:pPr>
        <w:pStyle w:val="29"/>
        <w:keepNext w:val="0"/>
        <w:keepLines w:val="0"/>
        <w:pageBreakBefore w:val="0"/>
        <w:widowControl/>
        <w:kinsoku/>
        <w:wordWrap/>
        <w:overflowPunct/>
        <w:topLinePunct w:val="0"/>
        <w:bidi w:val="0"/>
        <w:adjustRightInd/>
        <w:snapToGrid/>
        <w:textAlignment w:val="auto"/>
        <w:rPr>
          <w:sz w:val="22"/>
          <w:szCs w:val="22"/>
        </w:rPr>
      </w:pPr>
      <w:r>
        <w:rPr>
          <w:rFonts w:hint="eastAsia"/>
          <w:sz w:val="22"/>
          <w:szCs w:val="22"/>
        </w:rPr>
        <w:t>常规作业活动如</w:t>
      </w:r>
      <w:r>
        <w:rPr>
          <w:rFonts w:hint="eastAsia" w:hAnsi="宋体" w:cs="宋体"/>
          <w:color w:val="000000"/>
          <w:kern w:val="0"/>
          <w:sz w:val="22"/>
          <w:szCs w:val="22"/>
          <w:lang w:val="en-US" w:eastAsia="zh-CN" w:bidi="ar"/>
        </w:rPr>
        <w:t>裁切、冲压作业</w:t>
      </w:r>
      <w:r>
        <w:rPr>
          <w:rFonts w:hint="eastAsia"/>
          <w:sz w:val="22"/>
          <w:szCs w:val="22"/>
        </w:rPr>
        <w:t>等；</w:t>
      </w:r>
    </w:p>
    <w:p w14:paraId="24DBE583">
      <w:pPr>
        <w:pStyle w:val="29"/>
        <w:keepNext w:val="0"/>
        <w:keepLines w:val="0"/>
        <w:pageBreakBefore w:val="0"/>
        <w:widowControl/>
        <w:kinsoku/>
        <w:wordWrap/>
        <w:overflowPunct/>
        <w:topLinePunct w:val="0"/>
        <w:bidi w:val="0"/>
        <w:adjustRightInd/>
        <w:snapToGrid/>
        <w:textAlignment w:val="auto"/>
        <w:rPr>
          <w:sz w:val="22"/>
          <w:szCs w:val="22"/>
        </w:rPr>
      </w:pPr>
      <w:r>
        <w:rPr>
          <w:rFonts w:hint="eastAsia"/>
          <w:sz w:val="22"/>
          <w:szCs w:val="22"/>
        </w:rPr>
        <w:t>非常规作业如危险区域动火作业、高</w:t>
      </w:r>
      <w:r>
        <w:rPr>
          <w:rFonts w:hint="eastAsia"/>
          <w:sz w:val="22"/>
          <w:szCs w:val="22"/>
          <w:lang w:eastAsia="zh-CN"/>
        </w:rPr>
        <w:t>处</w:t>
      </w:r>
      <w:r>
        <w:rPr>
          <w:rFonts w:hint="eastAsia"/>
          <w:sz w:val="22"/>
          <w:szCs w:val="22"/>
        </w:rPr>
        <w:t>作业等。</w:t>
      </w:r>
    </w:p>
    <w:p w14:paraId="5C367FF8">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2"/>
        <w:rPr>
          <w:rFonts w:hint="eastAsia"/>
          <w:sz w:val="24"/>
          <w:szCs w:val="24"/>
          <w:lang w:val="en-US" w:eastAsia="zh-CN"/>
        </w:rPr>
      </w:pPr>
      <w:bookmarkStart w:id="39" w:name="_Toc475021505"/>
      <w:r>
        <w:rPr>
          <w:rFonts w:hint="eastAsia"/>
          <w:sz w:val="24"/>
          <w:szCs w:val="24"/>
          <w:lang w:val="en-US" w:eastAsia="zh-CN"/>
        </w:rPr>
        <w:t>3.2.2 风险点排查</w:t>
      </w:r>
      <w:bookmarkEnd w:id="39"/>
    </w:p>
    <w:p w14:paraId="1B87CEDE">
      <w:pPr>
        <w:pStyle w:val="55"/>
        <w:keepNext w:val="0"/>
        <w:keepLines w:val="0"/>
        <w:pageBreakBefore w:val="0"/>
        <w:widowControl/>
        <w:numPr>
          <w:ilvl w:val="3"/>
          <w:numId w:val="0"/>
        </w:numPr>
        <w:kinsoku/>
        <w:wordWrap/>
        <w:overflowPunct/>
        <w:topLinePunct w:val="0"/>
        <w:bidi w:val="0"/>
        <w:adjustRightInd/>
        <w:snapToGrid/>
        <w:spacing w:before="0" w:beforeLines="0" w:after="0" w:afterLines="0"/>
        <w:ind w:leftChars="0"/>
        <w:textAlignment w:val="auto"/>
        <w:outlineLvl w:val="9"/>
        <w:rPr>
          <w:sz w:val="22"/>
          <w:szCs w:val="22"/>
        </w:rPr>
      </w:pPr>
      <w:bookmarkStart w:id="40" w:name="_Toc465774042"/>
      <w:bookmarkStart w:id="41" w:name="_Toc466564032"/>
      <w:r>
        <w:rPr>
          <w:rFonts w:hint="eastAsia"/>
          <w:sz w:val="22"/>
          <w:szCs w:val="22"/>
          <w:lang w:eastAsia="zh-CN"/>
        </w:rPr>
        <w:t>（</w:t>
      </w:r>
      <w:r>
        <w:rPr>
          <w:rFonts w:hint="eastAsia"/>
          <w:sz w:val="22"/>
          <w:szCs w:val="22"/>
          <w:lang w:val="en-US" w:eastAsia="zh-CN"/>
        </w:rPr>
        <w:t>1</w:t>
      </w:r>
      <w:r>
        <w:rPr>
          <w:rFonts w:hint="eastAsia"/>
          <w:sz w:val="22"/>
          <w:szCs w:val="22"/>
          <w:lang w:eastAsia="zh-CN"/>
        </w:rPr>
        <w:t>）</w:t>
      </w:r>
      <w:r>
        <w:rPr>
          <w:rFonts w:hint="eastAsia"/>
          <w:sz w:val="22"/>
          <w:szCs w:val="22"/>
        </w:rPr>
        <w:t>风险点排查的内容</w:t>
      </w:r>
      <w:bookmarkEnd w:id="40"/>
      <w:bookmarkEnd w:id="41"/>
    </w:p>
    <w:p w14:paraId="4A1A2162">
      <w:pPr>
        <w:pStyle w:val="29"/>
        <w:keepNext w:val="0"/>
        <w:keepLines w:val="0"/>
        <w:pageBreakBefore w:val="0"/>
        <w:widowControl/>
        <w:kinsoku/>
        <w:wordWrap/>
        <w:overflowPunct/>
        <w:topLinePunct w:val="0"/>
        <w:bidi w:val="0"/>
        <w:adjustRightInd/>
        <w:snapToGrid/>
        <w:textAlignment w:val="auto"/>
        <w:outlineLvl w:val="9"/>
        <w:rPr>
          <w:sz w:val="22"/>
          <w:szCs w:val="22"/>
        </w:rPr>
      </w:pPr>
      <w:bookmarkStart w:id="42" w:name="_Toc465774043"/>
      <w:bookmarkStart w:id="43" w:name="_Toc466564033"/>
      <w:r>
        <w:rPr>
          <w:rFonts w:hint="eastAsia"/>
          <w:sz w:val="22"/>
          <w:szCs w:val="22"/>
        </w:rPr>
        <w:t>企业应组织生产、工艺、技术、设备等专业力量，发动全员参与、全方位、全过程对生产工艺、设备设施、作业环境、人员行为和管理体系等方面存在的安全风险进行排查。按照上述风险点划分原则，形成包括风险点名称、区域位置、可能导致事故类型、现有风险控制措施等内容的基本信息，建立风险点统计表，为下一步进行风险分析做好准备，企业主要风险点可参见附录8。</w:t>
      </w:r>
    </w:p>
    <w:p w14:paraId="48D60266">
      <w:pPr>
        <w:pStyle w:val="55"/>
        <w:keepNext w:val="0"/>
        <w:keepLines w:val="0"/>
        <w:pageBreakBefore w:val="0"/>
        <w:widowControl/>
        <w:numPr>
          <w:ilvl w:val="3"/>
          <w:numId w:val="0"/>
        </w:numPr>
        <w:kinsoku/>
        <w:wordWrap/>
        <w:overflowPunct/>
        <w:topLinePunct w:val="0"/>
        <w:bidi w:val="0"/>
        <w:adjustRightInd/>
        <w:snapToGrid/>
        <w:spacing w:before="0" w:beforeLines="0" w:after="0" w:afterLines="0"/>
        <w:ind w:leftChars="0"/>
        <w:textAlignment w:val="auto"/>
        <w:outlineLvl w:val="9"/>
        <w:rPr>
          <w:sz w:val="22"/>
          <w:szCs w:val="22"/>
        </w:rPr>
      </w:pPr>
      <w:r>
        <w:rPr>
          <w:rFonts w:hint="eastAsia"/>
          <w:sz w:val="22"/>
          <w:szCs w:val="22"/>
          <w:lang w:eastAsia="zh-CN"/>
        </w:rPr>
        <w:t>（</w:t>
      </w:r>
      <w:r>
        <w:rPr>
          <w:rFonts w:hint="eastAsia"/>
          <w:sz w:val="22"/>
          <w:szCs w:val="22"/>
          <w:lang w:val="en-US" w:eastAsia="zh-CN"/>
        </w:rPr>
        <w:t>2</w:t>
      </w:r>
      <w:r>
        <w:rPr>
          <w:rFonts w:hint="eastAsia"/>
          <w:sz w:val="22"/>
          <w:szCs w:val="22"/>
          <w:lang w:eastAsia="zh-CN"/>
        </w:rPr>
        <w:t>）</w:t>
      </w:r>
      <w:r>
        <w:rPr>
          <w:rFonts w:hint="eastAsia"/>
          <w:sz w:val="22"/>
          <w:szCs w:val="22"/>
        </w:rPr>
        <w:t>风险点排查的方法</w:t>
      </w:r>
      <w:bookmarkEnd w:id="42"/>
      <w:bookmarkEnd w:id="43"/>
    </w:p>
    <w:p w14:paraId="30C08D4D">
      <w:pPr>
        <w:pStyle w:val="29"/>
        <w:keepNext w:val="0"/>
        <w:keepLines w:val="0"/>
        <w:pageBreakBefore w:val="0"/>
        <w:widowControl/>
        <w:kinsoku/>
        <w:wordWrap/>
        <w:overflowPunct/>
        <w:topLinePunct w:val="0"/>
        <w:bidi w:val="0"/>
        <w:adjustRightInd/>
        <w:snapToGrid/>
        <w:textAlignment w:val="auto"/>
        <w:outlineLvl w:val="9"/>
        <w:rPr>
          <w:sz w:val="22"/>
          <w:szCs w:val="22"/>
        </w:rPr>
      </w:pPr>
      <w:bookmarkStart w:id="44" w:name="_Toc475021506"/>
      <w:bookmarkStart w:id="45" w:name="_Toc472947761"/>
      <w:bookmarkStart w:id="46" w:name="_Toc472504998"/>
      <w:bookmarkStart w:id="47" w:name="_Toc466060657"/>
      <w:r>
        <w:rPr>
          <w:rFonts w:hint="eastAsia"/>
          <w:sz w:val="22"/>
          <w:szCs w:val="22"/>
        </w:rPr>
        <w:t>按</w:t>
      </w:r>
      <w:r>
        <w:rPr>
          <w:rFonts w:hint="eastAsia"/>
          <w:sz w:val="22"/>
          <w:szCs w:val="22"/>
          <w:lang w:eastAsia="zh-CN"/>
        </w:rPr>
        <w:t>《</w:t>
      </w:r>
      <w:r>
        <w:rPr>
          <w:rFonts w:hint="eastAsia"/>
          <w:sz w:val="22"/>
          <w:szCs w:val="22"/>
          <w:lang w:val="en-US" w:eastAsia="zh-CN"/>
        </w:rPr>
        <w:t>苏州市工矿企业安全生产风险报告实施指南</w:t>
      </w:r>
      <w:r>
        <w:rPr>
          <w:rFonts w:hint="eastAsia"/>
          <w:sz w:val="22"/>
          <w:szCs w:val="22"/>
          <w:lang w:eastAsia="zh-CN"/>
        </w:rPr>
        <w:t>》</w:t>
      </w:r>
      <w:r>
        <w:rPr>
          <w:rFonts w:hint="eastAsia"/>
          <w:sz w:val="22"/>
          <w:szCs w:val="22"/>
        </w:rPr>
        <w:t>规定执行。</w:t>
      </w:r>
    </w:p>
    <w:p w14:paraId="2E2D0C40">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48" w:name="_Toc26660"/>
      <w:r>
        <w:rPr>
          <w:rFonts w:hint="eastAsia"/>
          <w:sz w:val="24"/>
          <w:szCs w:val="24"/>
          <w:lang w:val="en-US" w:eastAsia="zh-CN"/>
        </w:rPr>
        <w:t>3.2 危险源辨识</w:t>
      </w:r>
      <w:bookmarkEnd w:id="44"/>
      <w:bookmarkEnd w:id="45"/>
      <w:bookmarkEnd w:id="46"/>
      <w:bookmarkEnd w:id="47"/>
      <w:bookmarkEnd w:id="48"/>
    </w:p>
    <w:p w14:paraId="4080AC66">
      <w:pPr>
        <w:pStyle w:val="55"/>
        <w:numPr>
          <w:ilvl w:val="3"/>
          <w:numId w:val="0"/>
        </w:numPr>
        <w:snapToGrid w:val="0"/>
        <w:spacing w:line="360" w:lineRule="auto"/>
        <w:ind w:leftChars="0" w:firstLine="440" w:firstLineChars="200"/>
        <w:rPr>
          <w:rFonts w:hint="eastAsia" w:ascii="宋体" w:hAnsi="Times New Roman" w:eastAsia="宋体" w:cs="Times New Roman"/>
          <w:sz w:val="22"/>
          <w:szCs w:val="22"/>
          <w:lang w:val="en-US" w:eastAsia="zh-CN" w:bidi="ar-SA"/>
        </w:rPr>
      </w:pPr>
      <w:r>
        <w:rPr>
          <w:rFonts w:hint="eastAsia" w:ascii="宋体" w:hAnsi="Times New Roman" w:eastAsia="宋体" w:cs="Times New Roman"/>
          <w:sz w:val="22"/>
          <w:szCs w:val="22"/>
          <w:lang w:val="en-US" w:eastAsia="zh-CN" w:bidi="ar-SA"/>
        </w:rPr>
        <w:t>公司对全体员工进行危险源辨识方法的培训，按照确定的辨识范围组织全员有序地开展危险源辨识。</w:t>
      </w:r>
    </w:p>
    <w:p w14:paraId="363F5933">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2"/>
        <w:rPr>
          <w:rFonts w:hint="eastAsia"/>
          <w:sz w:val="24"/>
          <w:szCs w:val="24"/>
          <w:lang w:val="en-US" w:eastAsia="zh-CN"/>
        </w:rPr>
      </w:pPr>
      <w:bookmarkStart w:id="49" w:name="_Toc475021507"/>
      <w:bookmarkStart w:id="50" w:name="_Toc470695955"/>
      <w:r>
        <w:rPr>
          <w:rFonts w:hint="eastAsia"/>
          <w:sz w:val="24"/>
          <w:szCs w:val="24"/>
          <w:lang w:val="en-US" w:eastAsia="zh-CN"/>
        </w:rPr>
        <w:t>3.2.1 辨识方法</w:t>
      </w:r>
      <w:bookmarkEnd w:id="49"/>
      <w:bookmarkEnd w:id="50"/>
    </w:p>
    <w:p w14:paraId="64102D8D">
      <w:pPr>
        <w:pStyle w:val="55"/>
        <w:numPr>
          <w:ilvl w:val="3"/>
          <w:numId w:val="0"/>
        </w:numPr>
        <w:snapToGrid w:val="0"/>
        <w:spacing w:line="360" w:lineRule="auto"/>
        <w:ind w:leftChars="0" w:firstLine="440" w:firstLineChars="200"/>
        <w:rPr>
          <w:rFonts w:hint="eastAsia" w:ascii="宋体" w:hAnsi="Times New Roman" w:eastAsia="宋体" w:cs="Times New Roman"/>
          <w:sz w:val="22"/>
          <w:szCs w:val="22"/>
          <w:lang w:val="en-US" w:eastAsia="zh-CN" w:bidi="ar-SA"/>
        </w:rPr>
      </w:pPr>
      <w:r>
        <w:rPr>
          <w:rFonts w:hint="eastAsia" w:ascii="宋体" w:hAnsi="Times New Roman" w:eastAsia="宋体" w:cs="Times New Roman"/>
          <w:sz w:val="22"/>
          <w:szCs w:val="22"/>
          <w:lang w:val="en-US" w:eastAsia="zh-CN" w:bidi="ar-SA"/>
        </w:rPr>
        <w:t>辨识时依据GB/T13861的规定充分考虑四种不安全因素：人的因素（从业人员安全意识、安全与应急技能、安全行为或状态）、物的因素（生产经营基础设施、运输工具、工作场所等设施设备的安全可靠性）、环境因素（影响安全生产外部要素的可知性和应对措施）、管理因素（安全生产的管理机构、工作机制及安全生产管理制度的合规性和完备性）</w:t>
      </w:r>
    </w:p>
    <w:p w14:paraId="417FC735">
      <w:pPr>
        <w:pStyle w:val="55"/>
        <w:numPr>
          <w:ilvl w:val="3"/>
          <w:numId w:val="0"/>
        </w:numPr>
        <w:snapToGrid w:val="0"/>
        <w:spacing w:line="360" w:lineRule="auto"/>
        <w:ind w:leftChars="0" w:firstLine="440" w:firstLineChars="200"/>
        <w:rPr>
          <w:rFonts w:hint="eastAsia" w:ascii="宋体" w:hAnsi="Times New Roman" w:eastAsia="宋体" w:cs="Times New Roman"/>
          <w:sz w:val="22"/>
          <w:szCs w:val="22"/>
          <w:lang w:val="en-US" w:eastAsia="zh-CN" w:bidi="ar-SA"/>
        </w:rPr>
      </w:pPr>
      <w:r>
        <w:rPr>
          <w:rFonts w:hint="eastAsia" w:ascii="宋体" w:hAnsi="Times New Roman" w:eastAsia="宋体" w:cs="Times New Roman"/>
          <w:sz w:val="22"/>
          <w:szCs w:val="22"/>
          <w:lang w:val="en-US" w:eastAsia="zh-CN" w:bidi="ar-SA"/>
        </w:rPr>
        <w:t>（1）运用工作危害分析法（JHA）(见附录</w:t>
      </w:r>
      <w:r>
        <w:rPr>
          <w:rFonts w:hint="eastAsia" w:cs="Times New Roman"/>
          <w:sz w:val="22"/>
          <w:szCs w:val="22"/>
          <w:lang w:val="en-US" w:eastAsia="zh-CN" w:bidi="ar-SA"/>
        </w:rPr>
        <w:t>A</w:t>
      </w:r>
      <w:r>
        <w:rPr>
          <w:rFonts w:hint="eastAsia" w:ascii="宋体" w:hAnsi="Times New Roman" w:eastAsia="宋体" w:cs="Times New Roman"/>
          <w:sz w:val="22"/>
          <w:szCs w:val="22"/>
          <w:lang w:val="en-US" w:eastAsia="zh-CN" w:bidi="ar-SA"/>
        </w:rPr>
        <w:t>)，对作业活动开展危险源辨识时，应在对作业活动划分为作业步骤或作业内容的基础上，系统地辨识危险源。在作业活动划分时，应以生产作业流程的阶段划分为主，也可以采取按地理区域划分、按作业任务划分的方法，或几种方法的有机结合。划分出的作业活动在功能或性质上相对独立，既不能太复杂（如包括多达几十个作业步骤或作业内容）,也不能太简单（如仅由一、两个作业步骤或作业内容构成）。</w:t>
      </w:r>
    </w:p>
    <w:p w14:paraId="73ABB0A3">
      <w:pPr>
        <w:pStyle w:val="55"/>
        <w:numPr>
          <w:ilvl w:val="3"/>
          <w:numId w:val="0"/>
        </w:numPr>
        <w:snapToGrid w:val="0"/>
        <w:spacing w:line="360" w:lineRule="auto"/>
        <w:ind w:leftChars="0" w:firstLine="440" w:firstLineChars="200"/>
      </w:pPr>
      <w:r>
        <w:rPr>
          <w:rFonts w:hint="eastAsia" w:ascii="宋体" w:hAnsi="Times New Roman" w:eastAsia="宋体" w:cs="Times New Roman"/>
          <w:sz w:val="22"/>
          <w:szCs w:val="22"/>
          <w:lang w:val="en-US" w:eastAsia="zh-CN" w:bidi="ar-SA"/>
        </w:rPr>
        <w:t>（2）运用安全检查表法（SCL）(见附录</w:t>
      </w:r>
      <w:r>
        <w:rPr>
          <w:rFonts w:hint="eastAsia" w:cs="Times New Roman"/>
          <w:sz w:val="22"/>
          <w:szCs w:val="22"/>
          <w:lang w:val="en-US" w:eastAsia="zh-CN" w:bidi="ar-SA"/>
        </w:rPr>
        <w:t>B</w:t>
      </w:r>
      <w:r>
        <w:rPr>
          <w:rFonts w:hint="eastAsia" w:ascii="宋体" w:hAnsi="Times New Roman" w:eastAsia="宋体" w:cs="Times New Roman"/>
          <w:sz w:val="22"/>
          <w:szCs w:val="22"/>
          <w:lang w:val="en-US" w:eastAsia="zh-CN" w:bidi="ar-SA"/>
        </w:rPr>
        <w:t>)对场所、设备或设施等进行危险源辨识，应将设备设施按功能或结构划分为若干检查项目，针对每一检查项目，列出检查标准，对照检查标准逐项检查并确定不符合标准的情况和后果。</w:t>
      </w:r>
    </w:p>
    <w:p w14:paraId="0E22E853">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2"/>
        <w:rPr>
          <w:rFonts w:hint="eastAsia"/>
          <w:sz w:val="24"/>
          <w:szCs w:val="24"/>
          <w:lang w:val="en-US" w:eastAsia="zh-CN"/>
        </w:rPr>
      </w:pPr>
      <w:bookmarkStart w:id="51" w:name="_Toc475021508"/>
      <w:r>
        <w:rPr>
          <w:rFonts w:hint="eastAsia"/>
          <w:sz w:val="24"/>
          <w:szCs w:val="24"/>
          <w:lang w:val="en-US" w:eastAsia="zh-CN"/>
        </w:rPr>
        <w:t>3.2.2 辨识范围</w:t>
      </w:r>
      <w:bookmarkEnd w:id="51"/>
    </w:p>
    <w:p w14:paraId="0A12BC50">
      <w:pPr>
        <w:pStyle w:val="55"/>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outlineLvl w:val="9"/>
        <w:rPr>
          <w:rFonts w:hint="eastAsia" w:hAnsi="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危险源的辨识范围应覆盖本企业所有的作业活动和设备设施，</w:t>
      </w:r>
      <w:r>
        <w:rPr>
          <w:rFonts w:hint="eastAsia" w:hAnsi="宋体" w:cs="宋体"/>
          <w:color w:val="000000"/>
          <w:kern w:val="0"/>
          <w:sz w:val="22"/>
          <w:szCs w:val="22"/>
          <w:lang w:val="en-US" w:eastAsia="zh-CN" w:bidi="ar"/>
        </w:rPr>
        <w:t>最终形成作业活动清单与设备实施活动清单。</w:t>
      </w:r>
    </w:p>
    <w:p w14:paraId="3CA137D6">
      <w:pPr>
        <w:pStyle w:val="55"/>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outlineLvl w:val="9"/>
        <w:rPr>
          <w:rFonts w:hint="eastAsia" w:ascii="宋体" w:hAnsi="宋体" w:eastAsia="宋体" w:cs="宋体"/>
          <w:color w:val="000000"/>
          <w:kern w:val="0"/>
          <w:sz w:val="22"/>
          <w:szCs w:val="22"/>
          <w:lang w:val="en-US" w:eastAsia="zh-CN" w:bidi="ar"/>
        </w:rPr>
      </w:pPr>
      <w:r>
        <w:rPr>
          <w:rFonts w:hint="eastAsia" w:hAnsi="宋体" w:cs="宋体"/>
          <w:color w:val="000000"/>
          <w:kern w:val="0"/>
          <w:sz w:val="22"/>
          <w:szCs w:val="22"/>
          <w:lang w:val="en-US" w:eastAsia="zh-CN" w:bidi="ar"/>
        </w:rPr>
        <w:t>辨识范围</w:t>
      </w:r>
      <w:r>
        <w:rPr>
          <w:rFonts w:hint="eastAsia" w:ascii="宋体" w:hAnsi="宋体" w:eastAsia="宋体" w:cs="宋体"/>
          <w:color w:val="000000"/>
          <w:kern w:val="0"/>
          <w:sz w:val="22"/>
          <w:szCs w:val="22"/>
          <w:lang w:val="en-US" w:eastAsia="zh-CN" w:bidi="ar"/>
        </w:rPr>
        <w:t>包括：</w:t>
      </w:r>
    </w:p>
    <w:p w14:paraId="241C17BC">
      <w:pPr>
        <w:pStyle w:val="55"/>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企业的新、改、扩建项目在规划、设计、建设等阶段，如：厂址条件，如：地形、自然灾害、周围环境、气象条件、资源交通、抢险救灾支持等方面进行分析。平面布局，如：功能分区（生产、管理、辅助生产、生活区）布置；高温、有害物质、噪声、辐射、易燃、易爆、危险化学品设施布置；工艺流程布置等</w:t>
      </w:r>
      <w:r>
        <w:rPr>
          <w:rFonts w:hint="eastAsia" w:eastAsia="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建（构）筑物：结构、防火、防爆、防尘、朝向、采光、运输、通道等</w:t>
      </w:r>
      <w:r>
        <w:rPr>
          <w:rFonts w:hint="eastAsia" w:eastAsia="宋体" w:cs="宋体"/>
          <w:color w:val="000000"/>
          <w:kern w:val="0"/>
          <w:sz w:val="22"/>
          <w:szCs w:val="22"/>
          <w:lang w:val="en-US" w:eastAsia="zh-CN" w:bidi="ar"/>
        </w:rPr>
        <w:t>；</w:t>
      </w:r>
    </w:p>
    <w:p w14:paraId="27506A69">
      <w:pPr>
        <w:pStyle w:val="55"/>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firstLine="440" w:firstLineChars="20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（2）常规和非常规作业活动，如：冲压作业、分切作业等常规作业活动和危险区域动火作业、有限空间作业、高处作业等非常规作业活动</w:t>
      </w:r>
      <w:r>
        <w:rPr>
          <w:rFonts w:hint="eastAsia" w:eastAsia="宋体" w:cs="宋体"/>
          <w:color w:val="000000"/>
          <w:kern w:val="0"/>
          <w:sz w:val="22"/>
          <w:szCs w:val="22"/>
          <w:lang w:val="en-US" w:eastAsia="zh-CN" w:bidi="ar"/>
        </w:rPr>
        <w:t>；</w:t>
      </w:r>
    </w:p>
    <w:p w14:paraId="5D10292E">
      <w:pPr>
        <w:pStyle w:val="55"/>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（3）外来施工维修人员进入作业场的活动，如爆破、吊装、危险场所动火作业、大型检维修等危险作业</w:t>
      </w:r>
      <w:r>
        <w:rPr>
          <w:rFonts w:hint="eastAsia" w:eastAsia="宋体" w:cs="宋体"/>
          <w:color w:val="000000"/>
          <w:kern w:val="0"/>
          <w:sz w:val="22"/>
          <w:szCs w:val="22"/>
          <w:lang w:val="en-US" w:eastAsia="zh-CN" w:bidi="ar"/>
        </w:rPr>
        <w:t>；</w:t>
      </w:r>
    </w:p>
    <w:p w14:paraId="4F2139FF">
      <w:pPr>
        <w:pStyle w:val="55"/>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（4）作业场所的设施、设备、车辆等，如：生产设备、装置：机械、液压设备（运动零部件和工件、误运转和误操作）、电气设备（断电、触电、火灾、爆炸、误运转和误操作、静电、雷电）</w:t>
      </w:r>
      <w:r>
        <w:rPr>
          <w:rFonts w:hint="eastAsia" w:eastAsia="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危险性较大设备、高处作业的设备</w:t>
      </w:r>
      <w:r>
        <w:rPr>
          <w:rFonts w:hint="eastAsia" w:eastAsia="宋体" w:cs="宋体"/>
          <w:color w:val="000000"/>
          <w:kern w:val="0"/>
          <w:sz w:val="22"/>
          <w:szCs w:val="22"/>
          <w:lang w:val="en-US" w:eastAsia="zh-CN" w:bidi="ar"/>
        </w:rPr>
        <w:t>；</w:t>
      </w:r>
      <w:r>
        <w:rPr>
          <w:rFonts w:hint="eastAsia" w:ascii="宋体" w:hAnsi="宋体" w:eastAsia="宋体" w:cs="宋体"/>
          <w:color w:val="000000"/>
          <w:kern w:val="0"/>
          <w:sz w:val="22"/>
          <w:szCs w:val="22"/>
          <w:lang w:val="en-US" w:eastAsia="zh-CN" w:bidi="ar"/>
        </w:rPr>
        <w:t>涉及易燃易爆、有毒有害危险因素的作业场所</w:t>
      </w:r>
      <w:r>
        <w:rPr>
          <w:rFonts w:hint="eastAsia" w:eastAsia="宋体" w:cs="宋体"/>
          <w:color w:val="000000"/>
          <w:kern w:val="0"/>
          <w:sz w:val="22"/>
          <w:szCs w:val="22"/>
          <w:lang w:val="en-US" w:eastAsia="zh-CN" w:bidi="ar"/>
        </w:rPr>
        <w:t>；</w:t>
      </w:r>
    </w:p>
    <w:p w14:paraId="2D94264D">
      <w:pPr>
        <w:pStyle w:val="55"/>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（5）企业生产过程中的工艺、设备、管理、人员等变更；</w:t>
      </w:r>
    </w:p>
    <w:p w14:paraId="3901E1D2">
      <w:pPr>
        <w:pStyle w:val="55"/>
        <w:keepNext/>
        <w:keepLines w:val="0"/>
        <w:pageBreakBefore w:val="0"/>
        <w:widowControl w:val="0"/>
        <w:numPr>
          <w:ilvl w:val="3"/>
          <w:numId w:val="0"/>
        </w:numPr>
        <w:kinsoku/>
        <w:wordWrap/>
        <w:overflowPunct w:val="0"/>
        <w:topLinePunct w:val="0"/>
        <w:autoSpaceDE w:val="0"/>
        <w:autoSpaceDN w:val="0"/>
        <w:bidi w:val="0"/>
        <w:adjustRightInd w:val="0"/>
        <w:snapToGrid/>
        <w:spacing w:beforeLines="0" w:afterLines="0"/>
        <w:ind w:leftChars="0" w:firstLine="440" w:firstLineChars="200"/>
        <w:textAlignment w:val="auto"/>
        <w:outlineLvl w:val="9"/>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（6）其他容易发生生产安全事故的风险点。</w:t>
      </w:r>
    </w:p>
    <w:p w14:paraId="1FAB48FD">
      <w:pPr>
        <w:pStyle w:val="154"/>
        <w:ind w:firstLine="0" w:firstLineChars="0"/>
        <w:jc w:val="center"/>
        <w:rPr>
          <w:rFonts w:ascii="黑体" w:hAnsi="黑体" w:eastAsia="黑体"/>
          <w:sz w:val="21"/>
          <w:szCs w:val="21"/>
        </w:rPr>
      </w:pPr>
      <w:r>
        <w:rPr>
          <w:rFonts w:hint="eastAsia" w:ascii="黑体" w:hAnsi="黑体" w:eastAsia="黑体"/>
          <w:sz w:val="21"/>
          <w:szCs w:val="21"/>
        </w:rPr>
        <w:t>作业活动清单</w:t>
      </w:r>
    </w:p>
    <w:p w14:paraId="47465261">
      <w:pPr>
        <w:pStyle w:val="13"/>
        <w:spacing w:before="156" w:after="156"/>
        <w:ind w:firstLine="0"/>
      </w:pPr>
      <w:r>
        <w:rPr>
          <w:rFonts w:hint="eastAsia"/>
        </w:rPr>
        <w:t>（记录受控号）单位:                                                     №：</w:t>
      </w:r>
    </w:p>
    <w:tbl>
      <w:tblPr>
        <w:tblStyle w:val="39"/>
        <w:tblW w:w="0" w:type="auto"/>
        <w:jc w:val="center"/>
        <w:tblLayout w:type="fixed"/>
        <w:tblCellMar>
          <w:top w:w="0" w:type="dxa"/>
          <w:left w:w="108" w:type="dxa"/>
          <w:bottom w:w="0" w:type="dxa"/>
          <w:right w:w="108" w:type="dxa"/>
        </w:tblCellMar>
      </w:tblPr>
      <w:tblGrid>
        <w:gridCol w:w="767"/>
        <w:gridCol w:w="1494"/>
        <w:gridCol w:w="2070"/>
        <w:gridCol w:w="2070"/>
        <w:gridCol w:w="1241"/>
        <w:gridCol w:w="722"/>
      </w:tblGrid>
      <w:tr w14:paraId="63E13BD7">
        <w:tblPrEx>
          <w:tblCellMar>
            <w:top w:w="0" w:type="dxa"/>
            <w:left w:w="108" w:type="dxa"/>
            <w:bottom w:w="0" w:type="dxa"/>
            <w:right w:w="108" w:type="dxa"/>
          </w:tblCellMar>
        </w:tblPrEx>
        <w:trPr>
          <w:trHeight w:val="579"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14:paraId="51615CCA">
            <w:pPr>
              <w:spacing w:line="0" w:lineRule="atLeast"/>
              <w:jc w:val="center"/>
              <w:rPr>
                <w:rFonts w:ascii="宋体" w:hAnsi="宋体"/>
                <w:sz w:val="18"/>
                <w:szCs w:val="18"/>
              </w:rPr>
            </w:pPr>
            <w:r>
              <w:rPr>
                <w:rFonts w:hint="eastAsia" w:ascii="宋体" w:hAnsi="宋体" w:cs="仿宋_GB2312"/>
                <w:sz w:val="18"/>
                <w:szCs w:val="18"/>
              </w:rPr>
              <w:t>序号</w:t>
            </w:r>
          </w:p>
        </w:tc>
        <w:tc>
          <w:tcPr>
            <w:tcW w:w="1494" w:type="dxa"/>
            <w:tcBorders>
              <w:top w:val="single" w:color="auto" w:sz="4" w:space="0"/>
              <w:left w:val="nil"/>
              <w:bottom w:val="single" w:color="auto" w:sz="4" w:space="0"/>
              <w:right w:val="single" w:color="auto" w:sz="4" w:space="0"/>
            </w:tcBorders>
            <w:noWrap w:val="0"/>
            <w:vAlign w:val="center"/>
          </w:tcPr>
          <w:p w14:paraId="72CE81AA">
            <w:pPr>
              <w:spacing w:line="0" w:lineRule="atLeast"/>
              <w:jc w:val="center"/>
              <w:rPr>
                <w:rFonts w:ascii="宋体" w:hAnsi="宋体"/>
                <w:sz w:val="18"/>
                <w:szCs w:val="18"/>
              </w:rPr>
            </w:pPr>
            <w:r>
              <w:rPr>
                <w:rFonts w:hint="eastAsia" w:ascii="宋体" w:hAnsi="宋体"/>
                <w:sz w:val="18"/>
                <w:szCs w:val="18"/>
              </w:rPr>
              <w:t>作业活动名称</w:t>
            </w:r>
          </w:p>
        </w:tc>
        <w:tc>
          <w:tcPr>
            <w:tcW w:w="2070" w:type="dxa"/>
            <w:tcBorders>
              <w:top w:val="single" w:color="auto" w:sz="4" w:space="0"/>
              <w:left w:val="nil"/>
              <w:bottom w:val="single" w:color="auto" w:sz="4" w:space="0"/>
              <w:right w:val="single" w:color="auto" w:sz="4" w:space="0"/>
            </w:tcBorders>
            <w:noWrap w:val="0"/>
            <w:vAlign w:val="center"/>
          </w:tcPr>
          <w:p w14:paraId="5AAE433D">
            <w:pPr>
              <w:spacing w:line="0" w:lineRule="atLeast"/>
              <w:jc w:val="center"/>
              <w:rPr>
                <w:rFonts w:ascii="宋体" w:hAnsi="宋体" w:cs="仿宋_GB2312"/>
                <w:sz w:val="18"/>
                <w:szCs w:val="18"/>
              </w:rPr>
            </w:pPr>
            <w:r>
              <w:rPr>
                <w:rFonts w:hint="eastAsia" w:ascii="宋体" w:hAnsi="宋体" w:cs="仿宋_GB2312"/>
                <w:sz w:val="18"/>
                <w:szCs w:val="18"/>
              </w:rPr>
              <w:t>作业活动内容</w:t>
            </w:r>
          </w:p>
        </w:tc>
        <w:tc>
          <w:tcPr>
            <w:tcW w:w="2070" w:type="dxa"/>
            <w:tcBorders>
              <w:top w:val="single" w:color="auto" w:sz="4" w:space="0"/>
              <w:left w:val="nil"/>
              <w:bottom w:val="single" w:color="auto" w:sz="4" w:space="0"/>
              <w:right w:val="single" w:color="auto" w:sz="4" w:space="0"/>
            </w:tcBorders>
            <w:noWrap w:val="0"/>
            <w:vAlign w:val="center"/>
          </w:tcPr>
          <w:p w14:paraId="6F8E2CD9">
            <w:pPr>
              <w:spacing w:line="0" w:lineRule="atLeast"/>
              <w:jc w:val="center"/>
              <w:rPr>
                <w:rFonts w:ascii="宋体" w:hAnsi="宋体"/>
                <w:sz w:val="18"/>
                <w:szCs w:val="18"/>
              </w:rPr>
            </w:pPr>
            <w:r>
              <w:rPr>
                <w:rFonts w:hint="eastAsia" w:ascii="宋体" w:hAnsi="宋体" w:cs="仿宋_GB2312"/>
                <w:sz w:val="18"/>
                <w:szCs w:val="18"/>
              </w:rPr>
              <w:t>岗位/地点</w:t>
            </w:r>
          </w:p>
        </w:tc>
        <w:tc>
          <w:tcPr>
            <w:tcW w:w="1241" w:type="dxa"/>
            <w:tcBorders>
              <w:top w:val="single" w:color="auto" w:sz="4" w:space="0"/>
              <w:left w:val="nil"/>
              <w:bottom w:val="single" w:color="auto" w:sz="4" w:space="0"/>
              <w:right w:val="single" w:color="auto" w:sz="4" w:space="0"/>
            </w:tcBorders>
            <w:noWrap w:val="0"/>
            <w:vAlign w:val="center"/>
          </w:tcPr>
          <w:p w14:paraId="0A8092F4">
            <w:pPr>
              <w:spacing w:line="0" w:lineRule="atLeast"/>
              <w:jc w:val="center"/>
              <w:rPr>
                <w:rFonts w:ascii="宋体" w:hAnsi="宋体"/>
                <w:sz w:val="18"/>
                <w:szCs w:val="18"/>
              </w:rPr>
            </w:pPr>
            <w:r>
              <w:rPr>
                <w:rFonts w:hint="eastAsia" w:ascii="宋体" w:hAnsi="宋体" w:cs="仿宋_GB2312"/>
                <w:sz w:val="18"/>
                <w:szCs w:val="18"/>
              </w:rPr>
              <w:t>活动频率</w:t>
            </w:r>
          </w:p>
        </w:tc>
        <w:tc>
          <w:tcPr>
            <w:tcW w:w="722" w:type="dxa"/>
            <w:tcBorders>
              <w:top w:val="single" w:color="auto" w:sz="4" w:space="0"/>
              <w:left w:val="nil"/>
              <w:bottom w:val="single" w:color="auto" w:sz="4" w:space="0"/>
              <w:right w:val="single" w:color="auto" w:sz="4" w:space="0"/>
            </w:tcBorders>
            <w:noWrap w:val="0"/>
            <w:vAlign w:val="center"/>
          </w:tcPr>
          <w:p w14:paraId="49E4542B">
            <w:pPr>
              <w:spacing w:line="0" w:lineRule="atLeast"/>
              <w:jc w:val="center"/>
              <w:rPr>
                <w:rFonts w:ascii="宋体" w:hAnsi="宋体"/>
                <w:sz w:val="18"/>
                <w:szCs w:val="18"/>
              </w:rPr>
            </w:pPr>
            <w:r>
              <w:rPr>
                <w:rFonts w:hint="eastAsia" w:ascii="宋体" w:hAnsi="宋体" w:cs="仿宋_GB2312"/>
                <w:sz w:val="18"/>
                <w:szCs w:val="18"/>
              </w:rPr>
              <w:t>备注</w:t>
            </w:r>
          </w:p>
        </w:tc>
      </w:tr>
      <w:tr w14:paraId="33D61F2D">
        <w:tblPrEx>
          <w:tblCellMar>
            <w:top w:w="0" w:type="dxa"/>
            <w:left w:w="108" w:type="dxa"/>
            <w:bottom w:w="0" w:type="dxa"/>
            <w:right w:w="108" w:type="dxa"/>
          </w:tblCellMar>
        </w:tblPrEx>
        <w:trPr>
          <w:trHeight w:val="579"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14:paraId="00A4478B">
            <w:pPr>
              <w:spacing w:line="0" w:lineRule="atLeast"/>
              <w:jc w:val="center"/>
              <w:rPr>
                <w:rFonts w:ascii="宋体" w:hAnsi="宋体" w:cs="仿宋_GB2312"/>
                <w:sz w:val="18"/>
                <w:szCs w:val="18"/>
              </w:rPr>
            </w:pPr>
          </w:p>
        </w:tc>
        <w:tc>
          <w:tcPr>
            <w:tcW w:w="1494" w:type="dxa"/>
            <w:tcBorders>
              <w:top w:val="single" w:color="auto" w:sz="4" w:space="0"/>
              <w:left w:val="nil"/>
              <w:bottom w:val="single" w:color="auto" w:sz="4" w:space="0"/>
              <w:right w:val="single" w:color="auto" w:sz="4" w:space="0"/>
            </w:tcBorders>
            <w:noWrap w:val="0"/>
            <w:vAlign w:val="center"/>
          </w:tcPr>
          <w:p w14:paraId="7C4B91C8">
            <w:pPr>
              <w:spacing w:line="0" w:lineRule="atLeast"/>
              <w:jc w:val="center"/>
              <w:rPr>
                <w:rFonts w:ascii="宋体" w:hAnsi="宋体" w:cs="仿宋_GB2312"/>
                <w:sz w:val="18"/>
                <w:szCs w:val="18"/>
              </w:rPr>
            </w:pPr>
          </w:p>
        </w:tc>
        <w:tc>
          <w:tcPr>
            <w:tcW w:w="2070" w:type="dxa"/>
            <w:tcBorders>
              <w:top w:val="single" w:color="auto" w:sz="4" w:space="0"/>
              <w:left w:val="nil"/>
              <w:bottom w:val="single" w:color="auto" w:sz="4" w:space="0"/>
              <w:right w:val="single" w:color="auto" w:sz="4" w:space="0"/>
            </w:tcBorders>
            <w:noWrap w:val="0"/>
            <w:vAlign w:val="center"/>
          </w:tcPr>
          <w:p w14:paraId="7438AAFA">
            <w:pPr>
              <w:spacing w:line="0" w:lineRule="atLeast"/>
              <w:jc w:val="center"/>
              <w:rPr>
                <w:rFonts w:ascii="宋体" w:hAnsi="宋体" w:cs="仿宋_GB2312"/>
                <w:sz w:val="18"/>
                <w:szCs w:val="18"/>
              </w:rPr>
            </w:pPr>
          </w:p>
        </w:tc>
        <w:tc>
          <w:tcPr>
            <w:tcW w:w="2070" w:type="dxa"/>
            <w:tcBorders>
              <w:top w:val="single" w:color="auto" w:sz="4" w:space="0"/>
              <w:left w:val="nil"/>
              <w:bottom w:val="single" w:color="auto" w:sz="4" w:space="0"/>
              <w:right w:val="single" w:color="auto" w:sz="4" w:space="0"/>
            </w:tcBorders>
            <w:noWrap w:val="0"/>
            <w:vAlign w:val="center"/>
          </w:tcPr>
          <w:p w14:paraId="43BA1B69">
            <w:pPr>
              <w:spacing w:line="0" w:lineRule="atLeast"/>
              <w:jc w:val="center"/>
              <w:rPr>
                <w:rFonts w:ascii="宋体" w:hAnsi="宋体" w:cs="仿宋_GB2312"/>
                <w:sz w:val="18"/>
                <w:szCs w:val="18"/>
              </w:rPr>
            </w:pPr>
          </w:p>
        </w:tc>
        <w:tc>
          <w:tcPr>
            <w:tcW w:w="1241" w:type="dxa"/>
            <w:tcBorders>
              <w:top w:val="single" w:color="auto" w:sz="4" w:space="0"/>
              <w:left w:val="nil"/>
              <w:bottom w:val="single" w:color="auto" w:sz="4" w:space="0"/>
              <w:right w:val="single" w:color="auto" w:sz="4" w:space="0"/>
            </w:tcBorders>
            <w:noWrap w:val="0"/>
            <w:vAlign w:val="center"/>
          </w:tcPr>
          <w:p w14:paraId="1DEA0C8F">
            <w:pPr>
              <w:spacing w:line="0" w:lineRule="atLeast"/>
              <w:jc w:val="center"/>
              <w:rPr>
                <w:rFonts w:ascii="宋体" w:hAnsi="宋体" w:cs="仿宋_GB2312"/>
                <w:sz w:val="18"/>
                <w:szCs w:val="18"/>
              </w:rPr>
            </w:pPr>
          </w:p>
        </w:tc>
        <w:tc>
          <w:tcPr>
            <w:tcW w:w="722" w:type="dxa"/>
            <w:tcBorders>
              <w:top w:val="single" w:color="auto" w:sz="4" w:space="0"/>
              <w:left w:val="nil"/>
              <w:bottom w:val="single" w:color="auto" w:sz="4" w:space="0"/>
              <w:right w:val="single" w:color="auto" w:sz="4" w:space="0"/>
            </w:tcBorders>
            <w:noWrap w:val="0"/>
            <w:vAlign w:val="center"/>
          </w:tcPr>
          <w:p w14:paraId="1B60DAB9">
            <w:pPr>
              <w:spacing w:line="0" w:lineRule="atLeast"/>
              <w:jc w:val="center"/>
              <w:rPr>
                <w:rFonts w:ascii="宋体" w:hAnsi="宋体" w:cs="仿宋_GB2312"/>
                <w:sz w:val="18"/>
                <w:szCs w:val="18"/>
              </w:rPr>
            </w:pPr>
          </w:p>
        </w:tc>
      </w:tr>
    </w:tbl>
    <w:p w14:paraId="3E4F9FA6">
      <w:pPr>
        <w:pStyle w:val="13"/>
        <w:spacing w:before="156" w:after="156"/>
        <w:ind w:firstLine="0"/>
      </w:pPr>
      <w:r>
        <w:rPr>
          <w:rFonts w:hint="eastAsia"/>
        </w:rPr>
        <w:t>填表人：       填表日期：      年   月   日    审核人：        审核日期：      年   月   日</w:t>
      </w:r>
    </w:p>
    <w:p w14:paraId="5BA5BFEF">
      <w:pPr>
        <w:pStyle w:val="65"/>
        <w:rPr>
          <w:rFonts w:hAnsi="宋体"/>
        </w:rPr>
      </w:pPr>
      <w:r>
        <w:rPr>
          <w:rFonts w:hint="eastAsia" w:hAnsi="宋体"/>
        </w:rPr>
        <w:t>填表说明：</w:t>
      </w:r>
    </w:p>
    <w:p w14:paraId="107093C4">
      <w:pPr>
        <w:pStyle w:val="65"/>
        <w:numPr>
          <w:ilvl w:val="0"/>
          <w:numId w:val="19"/>
        </w:numPr>
        <w:rPr>
          <w:rFonts w:hAnsi="宋体"/>
        </w:rPr>
      </w:pPr>
      <w:r>
        <w:rPr>
          <w:rFonts w:hint="eastAsia" w:hAnsi="宋体"/>
        </w:rPr>
        <w:t>活动频率：频繁进行、特定时间进行、定期进行,当选用风险矩阵分析法（LS）时可不填写活动频率。</w:t>
      </w:r>
    </w:p>
    <w:p w14:paraId="25A7062F">
      <w:pPr>
        <w:pStyle w:val="29"/>
        <w:rPr>
          <w:rFonts w:hAnsi="宋体"/>
          <w:sz w:val="21"/>
          <w:szCs w:val="21"/>
        </w:rPr>
      </w:pPr>
    </w:p>
    <w:p w14:paraId="01B7803D">
      <w:pPr>
        <w:pStyle w:val="154"/>
        <w:ind w:firstLine="0" w:firstLineChars="0"/>
        <w:jc w:val="center"/>
        <w:rPr>
          <w:rFonts w:ascii="黑体" w:hAnsi="黑体" w:eastAsia="黑体"/>
          <w:sz w:val="21"/>
          <w:szCs w:val="21"/>
        </w:rPr>
      </w:pPr>
      <w:r>
        <w:rPr>
          <w:rFonts w:hint="eastAsia" w:ascii="黑体" w:hAnsi="黑体" w:eastAsia="黑体"/>
          <w:sz w:val="21"/>
          <w:szCs w:val="21"/>
        </w:rPr>
        <w:t>设备设施清单</w:t>
      </w:r>
    </w:p>
    <w:p w14:paraId="122EC1AC">
      <w:pPr>
        <w:pStyle w:val="13"/>
        <w:spacing w:before="156" w:after="156"/>
        <w:ind w:firstLine="0"/>
        <w:jc w:val="left"/>
      </w:pPr>
      <w:r>
        <w:rPr>
          <w:rFonts w:hint="eastAsia"/>
        </w:rPr>
        <w:t>（记录受控号）单位:                                                        №：</w:t>
      </w:r>
    </w:p>
    <w:tbl>
      <w:tblPr>
        <w:tblStyle w:val="39"/>
        <w:tblW w:w="0" w:type="auto"/>
        <w:jc w:val="center"/>
        <w:tblLayout w:type="fixed"/>
        <w:tblCellMar>
          <w:top w:w="0" w:type="dxa"/>
          <w:left w:w="0" w:type="dxa"/>
          <w:bottom w:w="0" w:type="dxa"/>
          <w:right w:w="0" w:type="dxa"/>
        </w:tblCellMar>
      </w:tblPr>
      <w:tblGrid>
        <w:gridCol w:w="1019"/>
        <w:gridCol w:w="1387"/>
        <w:gridCol w:w="1835"/>
        <w:gridCol w:w="943"/>
        <w:gridCol w:w="1427"/>
        <w:gridCol w:w="863"/>
        <w:gridCol w:w="863"/>
      </w:tblGrid>
      <w:tr w14:paraId="6ADCAEE8">
        <w:tblPrEx>
          <w:tblCellMar>
            <w:top w:w="0" w:type="dxa"/>
            <w:left w:w="0" w:type="dxa"/>
            <w:bottom w:w="0" w:type="dxa"/>
            <w:right w:w="0" w:type="dxa"/>
          </w:tblCellMar>
        </w:tblPrEx>
        <w:trPr>
          <w:trHeight w:val="394" w:hRule="atLeast"/>
          <w:jc w:val="center"/>
        </w:trPr>
        <w:tc>
          <w:tcPr>
            <w:tcW w:w="1019" w:type="dxa"/>
            <w:tcBorders>
              <w:top w:val="single" w:color="auto" w:sz="4" w:space="0"/>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168E1C33">
            <w:pPr>
              <w:spacing w:line="0" w:lineRule="atLeast"/>
              <w:jc w:val="center"/>
              <w:rPr>
                <w:rFonts w:ascii="宋体" w:hAnsi="宋体" w:cs="仿宋_GB2312"/>
                <w:sz w:val="18"/>
                <w:szCs w:val="18"/>
              </w:rPr>
            </w:pPr>
            <w:r>
              <w:rPr>
                <w:rFonts w:hint="eastAsia" w:ascii="宋体" w:hAnsi="宋体" w:cs="仿宋_GB2312"/>
                <w:sz w:val="18"/>
                <w:szCs w:val="18"/>
              </w:rPr>
              <w:t>序号</w:t>
            </w:r>
          </w:p>
        </w:tc>
        <w:tc>
          <w:tcPr>
            <w:tcW w:w="1387"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1CD4C2AA">
            <w:pPr>
              <w:spacing w:line="0" w:lineRule="atLeast"/>
              <w:jc w:val="center"/>
              <w:rPr>
                <w:rFonts w:ascii="宋体" w:hAnsi="宋体" w:cs="仿宋_GB2312"/>
                <w:sz w:val="18"/>
                <w:szCs w:val="18"/>
              </w:rPr>
            </w:pPr>
            <w:r>
              <w:rPr>
                <w:rFonts w:hint="eastAsia" w:ascii="宋体" w:hAnsi="宋体" w:cs="仿宋_GB2312"/>
                <w:sz w:val="18"/>
                <w:szCs w:val="18"/>
              </w:rPr>
              <w:t>设备名称</w:t>
            </w:r>
          </w:p>
        </w:tc>
        <w:tc>
          <w:tcPr>
            <w:tcW w:w="1835"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6873F049">
            <w:pPr>
              <w:spacing w:line="0" w:lineRule="atLeast"/>
              <w:jc w:val="center"/>
              <w:rPr>
                <w:rFonts w:ascii="宋体" w:hAnsi="宋体" w:cs="仿宋_GB2312"/>
                <w:sz w:val="18"/>
                <w:szCs w:val="18"/>
              </w:rPr>
            </w:pPr>
            <w:r>
              <w:rPr>
                <w:rFonts w:hint="eastAsia" w:ascii="宋体" w:hAnsi="宋体" w:cs="仿宋_GB2312"/>
                <w:sz w:val="18"/>
                <w:szCs w:val="18"/>
              </w:rPr>
              <w:t>类别</w:t>
            </w:r>
          </w:p>
        </w:tc>
        <w:tc>
          <w:tcPr>
            <w:tcW w:w="943"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157B0AC6">
            <w:pPr>
              <w:spacing w:line="0" w:lineRule="atLeast"/>
              <w:jc w:val="center"/>
              <w:rPr>
                <w:rFonts w:ascii="宋体" w:hAnsi="宋体" w:cs="仿宋_GB2312"/>
                <w:sz w:val="18"/>
                <w:szCs w:val="18"/>
              </w:rPr>
            </w:pPr>
            <w:r>
              <w:rPr>
                <w:rFonts w:hint="eastAsia" w:ascii="宋体" w:hAnsi="宋体" w:cs="仿宋_GB2312"/>
                <w:sz w:val="18"/>
                <w:szCs w:val="18"/>
              </w:rPr>
              <w:t>型号</w:t>
            </w:r>
          </w:p>
        </w:tc>
        <w:tc>
          <w:tcPr>
            <w:tcW w:w="1427"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6AD3090B">
            <w:pPr>
              <w:spacing w:line="0" w:lineRule="atLeast"/>
              <w:jc w:val="center"/>
              <w:rPr>
                <w:rFonts w:ascii="宋体" w:hAnsi="宋体" w:cs="仿宋_GB2312"/>
                <w:sz w:val="18"/>
                <w:szCs w:val="18"/>
              </w:rPr>
            </w:pPr>
            <w:r>
              <w:rPr>
                <w:rFonts w:hint="eastAsia" w:ascii="宋体" w:hAnsi="宋体" w:cs="仿宋_GB2312"/>
                <w:sz w:val="18"/>
                <w:szCs w:val="18"/>
              </w:rPr>
              <w:t>位号/所在部位</w:t>
            </w:r>
          </w:p>
        </w:tc>
        <w:tc>
          <w:tcPr>
            <w:tcW w:w="863"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222D8B8D">
            <w:pPr>
              <w:spacing w:line="0" w:lineRule="atLeast"/>
              <w:jc w:val="center"/>
              <w:rPr>
                <w:rFonts w:ascii="宋体" w:hAnsi="宋体" w:cs="仿宋_GB2312"/>
                <w:sz w:val="18"/>
                <w:szCs w:val="18"/>
              </w:rPr>
            </w:pPr>
            <w:r>
              <w:rPr>
                <w:rFonts w:hint="eastAsia" w:ascii="宋体" w:hAnsi="宋体" w:cs="仿宋_GB2312"/>
                <w:sz w:val="18"/>
                <w:szCs w:val="18"/>
              </w:rPr>
              <w:t>是否特种设备</w:t>
            </w:r>
          </w:p>
        </w:tc>
        <w:tc>
          <w:tcPr>
            <w:tcW w:w="863"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0C011877">
            <w:pPr>
              <w:spacing w:line="0" w:lineRule="atLeast"/>
              <w:jc w:val="center"/>
              <w:rPr>
                <w:rFonts w:ascii="宋体" w:hAnsi="宋体" w:cs="仿宋_GB2312"/>
                <w:sz w:val="18"/>
                <w:szCs w:val="18"/>
              </w:rPr>
            </w:pPr>
            <w:r>
              <w:rPr>
                <w:rFonts w:hint="eastAsia" w:ascii="宋体" w:hAnsi="宋体" w:cs="仿宋_GB2312"/>
                <w:sz w:val="18"/>
                <w:szCs w:val="18"/>
              </w:rPr>
              <w:t>备注</w:t>
            </w:r>
          </w:p>
        </w:tc>
      </w:tr>
      <w:tr w14:paraId="3E4AF19D">
        <w:tblPrEx>
          <w:tblCellMar>
            <w:top w:w="0" w:type="dxa"/>
            <w:left w:w="0" w:type="dxa"/>
            <w:bottom w:w="0" w:type="dxa"/>
            <w:right w:w="0" w:type="dxa"/>
          </w:tblCellMar>
        </w:tblPrEx>
        <w:trPr>
          <w:trHeight w:val="511" w:hRule="atLeast"/>
          <w:jc w:val="center"/>
        </w:trPr>
        <w:tc>
          <w:tcPr>
            <w:tcW w:w="1019" w:type="dxa"/>
            <w:tcBorders>
              <w:top w:val="single" w:color="auto" w:sz="4" w:space="0"/>
              <w:left w:val="single" w:color="auto" w:sz="4" w:space="0"/>
              <w:bottom w:val="single" w:color="auto" w:sz="4" w:space="0"/>
              <w:right w:val="single" w:color="auto" w:sz="4" w:space="0"/>
            </w:tcBorders>
            <w:noWrap w:val="0"/>
            <w:tcMar>
              <w:top w:w="19" w:type="dxa"/>
              <w:left w:w="19" w:type="dxa"/>
              <w:bottom w:w="0" w:type="dxa"/>
              <w:right w:w="19" w:type="dxa"/>
            </w:tcMar>
            <w:vAlign w:val="center"/>
          </w:tcPr>
          <w:p w14:paraId="7E5081B6">
            <w:pPr>
              <w:spacing w:line="0" w:lineRule="atLeast"/>
              <w:ind w:firstLine="450" w:firstLineChars="250"/>
              <w:jc w:val="both"/>
              <w:rPr>
                <w:rFonts w:ascii="宋体" w:hAnsi="宋体" w:cs="仿宋_GB2312"/>
                <w:sz w:val="18"/>
                <w:szCs w:val="18"/>
              </w:rPr>
            </w:pPr>
          </w:p>
        </w:tc>
        <w:tc>
          <w:tcPr>
            <w:tcW w:w="1387"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4F45C0CC">
            <w:pPr>
              <w:spacing w:line="0" w:lineRule="atLeast"/>
              <w:ind w:firstLine="450" w:firstLineChars="250"/>
              <w:jc w:val="both"/>
              <w:rPr>
                <w:rFonts w:ascii="宋体" w:hAnsi="宋体" w:cs="仿宋_GB2312"/>
                <w:sz w:val="18"/>
                <w:szCs w:val="18"/>
              </w:rPr>
            </w:pPr>
          </w:p>
        </w:tc>
        <w:tc>
          <w:tcPr>
            <w:tcW w:w="1835"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121F643F">
            <w:pPr>
              <w:spacing w:line="0" w:lineRule="atLeast"/>
              <w:ind w:firstLine="450" w:firstLineChars="250"/>
              <w:jc w:val="both"/>
              <w:rPr>
                <w:rFonts w:ascii="宋体" w:hAnsi="宋体" w:cs="仿宋_GB2312"/>
                <w:sz w:val="18"/>
                <w:szCs w:val="18"/>
              </w:rPr>
            </w:pPr>
          </w:p>
        </w:tc>
        <w:tc>
          <w:tcPr>
            <w:tcW w:w="943"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3C787DD9">
            <w:pPr>
              <w:spacing w:line="0" w:lineRule="atLeast"/>
              <w:ind w:firstLine="450" w:firstLineChars="250"/>
              <w:jc w:val="both"/>
              <w:rPr>
                <w:rFonts w:ascii="宋体" w:hAnsi="宋体" w:cs="仿宋_GB2312"/>
                <w:sz w:val="18"/>
                <w:szCs w:val="18"/>
              </w:rPr>
            </w:pPr>
          </w:p>
        </w:tc>
        <w:tc>
          <w:tcPr>
            <w:tcW w:w="1427"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15AD42F6">
            <w:pPr>
              <w:spacing w:line="0" w:lineRule="atLeast"/>
              <w:ind w:firstLine="450" w:firstLineChars="250"/>
              <w:jc w:val="both"/>
              <w:rPr>
                <w:rFonts w:ascii="宋体" w:hAnsi="宋体" w:cs="仿宋_GB2312"/>
                <w:sz w:val="18"/>
                <w:szCs w:val="18"/>
              </w:rPr>
            </w:pPr>
          </w:p>
        </w:tc>
        <w:tc>
          <w:tcPr>
            <w:tcW w:w="863"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56398E9B">
            <w:pPr>
              <w:spacing w:line="0" w:lineRule="atLeast"/>
              <w:ind w:firstLine="450" w:firstLineChars="250"/>
              <w:jc w:val="both"/>
              <w:rPr>
                <w:rFonts w:ascii="宋体" w:hAnsi="宋体" w:cs="仿宋_GB2312"/>
                <w:sz w:val="18"/>
                <w:szCs w:val="18"/>
              </w:rPr>
            </w:pPr>
          </w:p>
        </w:tc>
        <w:tc>
          <w:tcPr>
            <w:tcW w:w="863" w:type="dxa"/>
            <w:tcBorders>
              <w:top w:val="single" w:color="auto" w:sz="4" w:space="0"/>
              <w:left w:val="nil"/>
              <w:bottom w:val="single" w:color="auto" w:sz="4" w:space="0"/>
              <w:right w:val="single" w:color="auto" w:sz="4" w:space="0"/>
            </w:tcBorders>
            <w:noWrap w:val="0"/>
            <w:tcMar>
              <w:top w:w="19" w:type="dxa"/>
              <w:left w:w="19" w:type="dxa"/>
              <w:bottom w:w="0" w:type="dxa"/>
              <w:right w:w="19" w:type="dxa"/>
            </w:tcMar>
            <w:vAlign w:val="center"/>
          </w:tcPr>
          <w:p w14:paraId="0B4A3ABD">
            <w:pPr>
              <w:spacing w:line="0" w:lineRule="atLeast"/>
              <w:ind w:firstLine="450" w:firstLineChars="250"/>
              <w:jc w:val="both"/>
              <w:rPr>
                <w:rFonts w:ascii="宋体" w:hAnsi="宋体" w:cs="仿宋_GB2312"/>
                <w:sz w:val="18"/>
                <w:szCs w:val="18"/>
              </w:rPr>
            </w:pPr>
          </w:p>
        </w:tc>
      </w:tr>
    </w:tbl>
    <w:p w14:paraId="327A9D32">
      <w:pPr>
        <w:pStyle w:val="13"/>
        <w:spacing w:before="156" w:after="156"/>
        <w:ind w:firstLine="0"/>
      </w:pPr>
      <w:r>
        <w:rPr>
          <w:rFonts w:hint="eastAsia"/>
        </w:rPr>
        <w:t>填表人：       填表日期：      年   月   日    审核人：        审核日期：      年   月   日</w:t>
      </w:r>
    </w:p>
    <w:p w14:paraId="2666F7B9">
      <w:pPr>
        <w:pStyle w:val="155"/>
        <w:ind w:firstLine="0" w:firstLineChars="0"/>
        <w:rPr>
          <w:rFonts w:ascii="宋体" w:hAnsi="宋体" w:eastAsia="宋体"/>
          <w:sz w:val="18"/>
          <w:szCs w:val="18"/>
        </w:rPr>
      </w:pPr>
      <w:r>
        <w:rPr>
          <w:rFonts w:hint="eastAsia" w:ascii="宋体" w:hAnsi="宋体" w:eastAsia="宋体"/>
          <w:sz w:val="18"/>
          <w:szCs w:val="18"/>
        </w:rPr>
        <w:t>填表说明：</w:t>
      </w:r>
    </w:p>
    <w:p w14:paraId="7086C726">
      <w:pPr>
        <w:pStyle w:val="155"/>
        <w:ind w:firstLine="360"/>
        <w:rPr>
          <w:rFonts w:ascii="宋体" w:hAnsi="宋体" w:eastAsia="宋体"/>
          <w:sz w:val="18"/>
          <w:szCs w:val="18"/>
        </w:rPr>
      </w:pPr>
      <w:r>
        <w:rPr>
          <w:rFonts w:hint="eastAsia" w:ascii="宋体" w:hAnsi="宋体" w:eastAsia="宋体"/>
          <w:sz w:val="18"/>
          <w:szCs w:val="18"/>
        </w:rPr>
        <w:t>1.设备类别:运输设备、特种设备、施工设备、电气设备、检测设备、、消防、环保与应急设备、其他设施设备类。</w:t>
      </w:r>
    </w:p>
    <w:p w14:paraId="4F100D2F">
      <w:pPr>
        <w:pStyle w:val="155"/>
        <w:ind w:firstLine="360"/>
        <w:rPr>
          <w:rFonts w:ascii="宋体" w:hAnsi="宋体" w:eastAsia="宋体"/>
          <w:sz w:val="18"/>
          <w:szCs w:val="18"/>
        </w:rPr>
      </w:pPr>
      <w:r>
        <w:rPr>
          <w:rFonts w:hint="eastAsia" w:ascii="宋体" w:hAnsi="宋体" w:eastAsia="宋体"/>
          <w:sz w:val="18"/>
          <w:szCs w:val="18"/>
        </w:rPr>
        <w:t>2.参照设备设施台帐，按照类别归类，、型号相同的设备设施可合并，在备注内写明数量。</w:t>
      </w:r>
    </w:p>
    <w:p w14:paraId="1E3016CE">
      <w:pPr>
        <w:pStyle w:val="155"/>
        <w:ind w:firstLine="360"/>
        <w:rPr>
          <w:rFonts w:hint="eastAsia" w:ascii="宋体" w:hAnsi="宋体" w:eastAsia="宋体" w:cs="宋体"/>
          <w:color w:val="000000"/>
          <w:kern w:val="0"/>
          <w:sz w:val="22"/>
          <w:szCs w:val="22"/>
          <w:lang w:val="en-US" w:eastAsia="zh-CN" w:bidi="ar"/>
        </w:rPr>
      </w:pPr>
      <w:r>
        <w:rPr>
          <w:rFonts w:hint="eastAsia" w:ascii="宋体" w:hAnsi="宋体" w:eastAsia="宋体"/>
          <w:sz w:val="18"/>
          <w:szCs w:val="18"/>
        </w:rPr>
        <w:t>3.厂房、仓库、场站、办公楼等可以放在表的最后列出。</w:t>
      </w:r>
    </w:p>
    <w:p w14:paraId="733C72A6">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2"/>
        <w:rPr>
          <w:rFonts w:hint="eastAsia"/>
          <w:sz w:val="24"/>
          <w:szCs w:val="24"/>
          <w:lang w:val="en-US" w:eastAsia="zh-CN"/>
        </w:rPr>
      </w:pPr>
      <w:bookmarkStart w:id="52" w:name="_Toc475021509"/>
      <w:r>
        <w:rPr>
          <w:rFonts w:hint="eastAsia"/>
          <w:sz w:val="24"/>
          <w:szCs w:val="24"/>
          <w:lang w:val="en-US" w:eastAsia="zh-CN"/>
        </w:rPr>
        <w:t>3.2.3 危险源辨识</w:t>
      </w:r>
      <w:bookmarkEnd w:id="52"/>
    </w:p>
    <w:p w14:paraId="55446FE1">
      <w:pPr>
        <w:pStyle w:val="29"/>
        <w:keepNext w:val="0"/>
        <w:keepLines w:val="0"/>
        <w:pageBreakBefore w:val="0"/>
        <w:kinsoku/>
        <w:wordWrap/>
        <w:overflowPunct/>
        <w:topLinePunct w:val="0"/>
        <w:bidi w:val="0"/>
        <w:ind w:left="0" w:leftChars="0" w:firstLine="440" w:firstLineChars="200"/>
        <w:textAlignment w:val="auto"/>
        <w:rPr>
          <w:rFonts w:hint="eastAsia"/>
          <w:sz w:val="22"/>
          <w:szCs w:val="22"/>
        </w:rPr>
      </w:pPr>
      <w:bookmarkStart w:id="53" w:name="_Toc466564035"/>
      <w:bookmarkStart w:id="54" w:name="_Toc465774045"/>
      <w:r>
        <w:rPr>
          <w:rFonts w:hint="eastAsia"/>
          <w:sz w:val="22"/>
          <w:szCs w:val="22"/>
          <w:lang w:val="en-US" w:eastAsia="zh-CN"/>
        </w:rPr>
        <w:t>（1）</w:t>
      </w:r>
      <w:r>
        <w:rPr>
          <w:rFonts w:hint="eastAsia"/>
          <w:sz w:val="22"/>
          <w:szCs w:val="22"/>
        </w:rPr>
        <w:t>危险源辨识的内容</w:t>
      </w:r>
      <w:bookmarkEnd w:id="53"/>
      <w:bookmarkEnd w:id="54"/>
    </w:p>
    <w:p w14:paraId="6423ADCB">
      <w:pPr>
        <w:pStyle w:val="29"/>
        <w:keepNext w:val="0"/>
        <w:keepLines w:val="0"/>
        <w:pageBreakBefore w:val="0"/>
        <w:kinsoku/>
        <w:wordWrap/>
        <w:overflowPunct/>
        <w:topLinePunct w:val="0"/>
        <w:bidi w:val="0"/>
        <w:textAlignment w:val="auto"/>
        <w:rPr>
          <w:rFonts w:hint="eastAsia"/>
          <w:sz w:val="22"/>
          <w:szCs w:val="22"/>
        </w:rPr>
      </w:pPr>
      <w:r>
        <w:rPr>
          <w:rFonts w:hint="eastAsia"/>
          <w:sz w:val="22"/>
          <w:szCs w:val="22"/>
        </w:rPr>
        <w:t>采用适用的辨识方法，对风险点内存在的危险源进行辨识，辨识应覆盖风险点内全部的设备设施和作业活动，并充分考虑不同状态和不同环境带来的影响。</w:t>
      </w:r>
    </w:p>
    <w:p w14:paraId="52CF24FF">
      <w:pPr>
        <w:pStyle w:val="29"/>
        <w:keepNext w:val="0"/>
        <w:keepLines w:val="0"/>
        <w:pageBreakBefore w:val="0"/>
        <w:kinsoku/>
        <w:wordWrap/>
        <w:overflowPunct/>
        <w:topLinePunct w:val="0"/>
        <w:bidi w:val="0"/>
        <w:ind w:left="0" w:leftChars="0" w:firstLine="440" w:firstLineChars="200"/>
        <w:textAlignment w:val="auto"/>
        <w:rPr>
          <w:rFonts w:hint="eastAsia"/>
          <w:sz w:val="22"/>
          <w:szCs w:val="22"/>
        </w:rPr>
      </w:pPr>
      <w:bookmarkStart w:id="55" w:name="_Toc479343887"/>
      <w:bookmarkStart w:id="56" w:name="_Toc12734"/>
      <w:r>
        <w:rPr>
          <w:rFonts w:hint="eastAsia"/>
          <w:sz w:val="22"/>
          <w:szCs w:val="22"/>
          <w:lang w:eastAsia="zh-CN"/>
        </w:rPr>
        <w:t>（</w:t>
      </w:r>
      <w:r>
        <w:rPr>
          <w:rFonts w:hint="eastAsia"/>
          <w:sz w:val="22"/>
          <w:szCs w:val="22"/>
          <w:lang w:val="en-US" w:eastAsia="zh-CN"/>
        </w:rPr>
        <w:t>2</w:t>
      </w:r>
      <w:r>
        <w:rPr>
          <w:rFonts w:hint="eastAsia"/>
          <w:sz w:val="22"/>
          <w:szCs w:val="22"/>
          <w:lang w:eastAsia="zh-CN"/>
        </w:rPr>
        <w:t>）</w:t>
      </w:r>
      <w:bookmarkStart w:id="57" w:name="_Toc465774046"/>
      <w:bookmarkStart w:id="58" w:name="_Toc466564036"/>
      <w:r>
        <w:rPr>
          <w:rFonts w:hint="eastAsia"/>
          <w:sz w:val="22"/>
          <w:szCs w:val="22"/>
        </w:rPr>
        <w:t>危险源辨识的方法</w:t>
      </w:r>
      <w:bookmarkEnd w:id="55"/>
      <w:bookmarkEnd w:id="56"/>
      <w:bookmarkEnd w:id="57"/>
      <w:bookmarkEnd w:id="58"/>
    </w:p>
    <w:p w14:paraId="0E31A989">
      <w:pPr>
        <w:pStyle w:val="29"/>
        <w:keepNext w:val="0"/>
        <w:keepLines w:val="0"/>
        <w:pageBreakBefore w:val="0"/>
        <w:kinsoku/>
        <w:wordWrap/>
        <w:overflowPunct/>
        <w:topLinePunct w:val="0"/>
        <w:bidi w:val="0"/>
        <w:ind w:left="0" w:leftChars="0" w:firstLine="440" w:firstLineChars="200"/>
        <w:textAlignment w:val="auto"/>
        <w:rPr>
          <w:rFonts w:hint="eastAsia"/>
          <w:sz w:val="22"/>
          <w:szCs w:val="22"/>
          <w:lang w:val="en-US" w:eastAsia="zh-CN"/>
        </w:rPr>
      </w:pPr>
      <w:r>
        <w:rPr>
          <w:rFonts w:hint="eastAsia"/>
          <w:sz w:val="22"/>
          <w:szCs w:val="22"/>
        </w:rPr>
        <w:t>企业采用工作危害分析法（JHA）对作业活动开展危险源辨识，辨识结果最终形成作业活动危险源辨识、风险评价记录表，参见</w:t>
      </w:r>
      <w:r>
        <w:rPr>
          <w:rFonts w:hint="eastAsia"/>
          <w:sz w:val="22"/>
          <w:szCs w:val="22"/>
          <w:lang w:eastAsia="zh-CN"/>
        </w:rPr>
        <w:t>《安全风险管理制度》附件</w:t>
      </w:r>
      <w:r>
        <w:rPr>
          <w:rFonts w:hint="eastAsia"/>
          <w:sz w:val="22"/>
          <w:szCs w:val="22"/>
          <w:lang w:val="en-US" w:eastAsia="zh-CN"/>
        </w:rPr>
        <w:t>3</w:t>
      </w:r>
      <w:r>
        <w:rPr>
          <w:rFonts w:hint="eastAsia"/>
          <w:sz w:val="22"/>
          <w:szCs w:val="22"/>
        </w:rPr>
        <w:t>。采用安全检查表法（SCL）对场所、设备或设施等进行危险源辨识，辨识结果最终形成设备设施危险源辨识、风险评价记录表，参见</w:t>
      </w:r>
      <w:bookmarkStart w:id="59" w:name="_Toc472504999"/>
      <w:bookmarkStart w:id="60" w:name="_Toc472947762"/>
      <w:bookmarkStart w:id="61" w:name="_Toc475021511"/>
      <w:bookmarkStart w:id="62" w:name="_Toc22288"/>
      <w:bookmarkStart w:id="63" w:name="_Toc466060658"/>
      <w:r>
        <w:rPr>
          <w:rFonts w:hint="eastAsia"/>
          <w:sz w:val="22"/>
          <w:szCs w:val="22"/>
          <w:lang w:eastAsia="zh-CN"/>
        </w:rPr>
        <w:t>《安全风险管理制度》附件</w:t>
      </w:r>
      <w:r>
        <w:rPr>
          <w:rFonts w:hint="eastAsia"/>
          <w:sz w:val="22"/>
          <w:szCs w:val="22"/>
          <w:lang w:val="en-US" w:eastAsia="zh-CN"/>
        </w:rPr>
        <w:t>3。</w:t>
      </w:r>
    </w:p>
    <w:p w14:paraId="6126652C">
      <w:pPr>
        <w:pStyle w:val="29"/>
        <w:keepNext w:val="0"/>
        <w:keepLines w:val="0"/>
        <w:pageBreakBefore w:val="0"/>
        <w:kinsoku/>
        <w:wordWrap/>
        <w:overflowPunct/>
        <w:topLinePunct w:val="0"/>
        <w:bidi w:val="0"/>
        <w:ind w:left="0" w:leftChars="0" w:firstLine="440" w:firstLineChars="200"/>
        <w:textAlignment w:val="auto"/>
        <w:rPr>
          <w:rFonts w:asciiTheme="minorEastAsia" w:hAnsiTheme="minorEastAsia" w:eastAsiaTheme="minorEastAsia"/>
          <w:b/>
          <w:bCs/>
          <w:sz w:val="22"/>
          <w:szCs w:val="22"/>
        </w:rPr>
      </w:pPr>
      <w:r>
        <w:rPr>
          <w:rFonts w:hint="eastAsia" w:eastAsiaTheme="minorEastAsia"/>
          <w:sz w:val="22"/>
          <w:szCs w:val="22"/>
          <w:lang w:eastAsia="zh-CN"/>
        </w:rPr>
        <w:t>（</w:t>
      </w:r>
      <w:r>
        <w:rPr>
          <w:rFonts w:hint="eastAsia" w:eastAsiaTheme="minorEastAsia"/>
          <w:sz w:val="22"/>
          <w:szCs w:val="22"/>
          <w:lang w:val="en-US" w:eastAsia="zh-CN"/>
        </w:rPr>
        <w:t>3</w:t>
      </w:r>
      <w:r>
        <w:rPr>
          <w:rFonts w:hint="eastAsia" w:eastAsiaTheme="minorEastAsia"/>
          <w:sz w:val="22"/>
          <w:szCs w:val="22"/>
          <w:lang w:eastAsia="zh-CN"/>
        </w:rPr>
        <w:t>）危险源辨识</w:t>
      </w:r>
      <w:r>
        <w:rPr>
          <w:rFonts w:hint="eastAsia" w:asciiTheme="minorEastAsia" w:hAnsiTheme="minorEastAsia" w:eastAsiaTheme="minorEastAsia"/>
          <w:b/>
          <w:bCs/>
          <w:sz w:val="22"/>
          <w:szCs w:val="22"/>
        </w:rPr>
        <w:t>工作程序</w:t>
      </w:r>
    </w:p>
    <w:p w14:paraId="57BC082B">
      <w:pPr>
        <w:pStyle w:val="151"/>
        <w:keepNext w:val="0"/>
        <w:keepLines w:val="0"/>
        <w:pageBreakBefore w:val="0"/>
        <w:widowControl w:val="0"/>
        <w:numPr>
          <w:ilvl w:val="0"/>
          <w:numId w:val="20"/>
        </w:numPr>
        <w:tabs>
          <w:tab w:val="left" w:pos="0"/>
        </w:tabs>
        <w:kinsoku/>
        <w:wordWrap/>
        <w:overflowPunct/>
        <w:topLinePunct w:val="0"/>
        <w:autoSpaceDE/>
        <w:autoSpaceDN/>
        <w:bidi w:val="0"/>
        <w:adjustRightInd w:val="0"/>
        <w:snapToGrid w:val="0"/>
        <w:spacing w:line="240" w:lineRule="auto"/>
        <w:ind w:left="0" w:leftChars="0" w:firstLine="880" w:firstLineChars="400"/>
        <w:textAlignment w:val="auto"/>
        <w:rPr>
          <w:rFonts w:asciiTheme="minorEastAsia" w:hAnsiTheme="minorEastAsia" w:eastAsiaTheme="minorEastAsia"/>
          <w:sz w:val="22"/>
          <w:szCs w:val="22"/>
        </w:rPr>
      </w:pPr>
      <w:r>
        <w:rPr>
          <w:rFonts w:hint="eastAsia" w:asciiTheme="minorEastAsia" w:hAnsiTheme="minorEastAsia"/>
          <w:color w:val="0000FF"/>
          <w:sz w:val="22"/>
          <w:szCs w:val="22"/>
          <w:lang w:val="en-US" w:eastAsia="zh-CN"/>
        </w:rPr>
        <w:t>XXX部门</w:t>
      </w:r>
      <w:r>
        <w:rPr>
          <w:rFonts w:hint="eastAsia" w:asciiTheme="minorEastAsia" w:hAnsiTheme="minorEastAsia" w:eastAsiaTheme="minorEastAsia"/>
          <w:sz w:val="22"/>
          <w:szCs w:val="22"/>
        </w:rPr>
        <w:t>将相关记录表格发放到相关部门</w:t>
      </w:r>
      <w:r>
        <w:rPr>
          <w:rFonts w:hint="eastAsia" w:asciiTheme="minorEastAsia" w:hAnsiTheme="minorEastAsia"/>
          <w:sz w:val="22"/>
          <w:szCs w:val="22"/>
          <w:lang w:eastAsia="zh-CN"/>
        </w:rPr>
        <w:t>；</w:t>
      </w:r>
    </w:p>
    <w:p w14:paraId="79035762">
      <w:pPr>
        <w:pStyle w:val="151"/>
        <w:keepNext w:val="0"/>
        <w:keepLines w:val="0"/>
        <w:pageBreakBefore w:val="0"/>
        <w:widowControl w:val="0"/>
        <w:numPr>
          <w:ilvl w:val="0"/>
          <w:numId w:val="20"/>
        </w:numPr>
        <w:tabs>
          <w:tab w:val="left" w:pos="0"/>
        </w:tabs>
        <w:kinsoku/>
        <w:wordWrap/>
        <w:overflowPunct/>
        <w:topLinePunct w:val="0"/>
        <w:autoSpaceDE/>
        <w:autoSpaceDN/>
        <w:bidi w:val="0"/>
        <w:adjustRightInd w:val="0"/>
        <w:snapToGrid w:val="0"/>
        <w:spacing w:line="240" w:lineRule="auto"/>
        <w:ind w:left="0" w:leftChars="0" w:firstLine="880" w:firstLineChars="4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各相关部门组织人员从其</w:t>
      </w:r>
      <w:r>
        <w:rPr>
          <w:rFonts w:hint="eastAsia" w:asciiTheme="minorEastAsia" w:hAnsiTheme="minorEastAsia"/>
          <w:sz w:val="22"/>
          <w:szCs w:val="22"/>
          <w:lang w:eastAsia="zh-CN"/>
        </w:rPr>
        <w:t>生产活动区域内的风险进行危害辨识</w:t>
      </w:r>
      <w:r>
        <w:rPr>
          <w:rFonts w:hint="eastAsia" w:asciiTheme="minorEastAsia" w:hAnsiTheme="minorEastAsia" w:eastAsiaTheme="minorEastAsia"/>
          <w:sz w:val="22"/>
          <w:szCs w:val="22"/>
        </w:rPr>
        <w:t>活，</w:t>
      </w:r>
      <w:r>
        <w:rPr>
          <w:rFonts w:hint="eastAsia" w:asciiTheme="minorEastAsia" w:hAnsiTheme="minorEastAsia"/>
          <w:sz w:val="22"/>
          <w:szCs w:val="22"/>
          <w:lang w:eastAsia="zh-CN"/>
        </w:rPr>
        <w:t>并</w:t>
      </w:r>
      <w:r>
        <w:rPr>
          <w:rFonts w:hint="eastAsia" w:asciiTheme="minorEastAsia" w:hAnsiTheme="minorEastAsia" w:eastAsiaTheme="minorEastAsia"/>
          <w:sz w:val="22"/>
          <w:szCs w:val="22"/>
        </w:rPr>
        <w:t>填写</w:t>
      </w:r>
      <w:r>
        <w:rPr>
          <w:rFonts w:hint="eastAsia" w:asciiTheme="minorEastAsia" w:hAnsiTheme="minorEastAsia" w:eastAsiaTheme="minorEastAsia"/>
          <w:color w:val="0000FF"/>
          <w:sz w:val="22"/>
          <w:szCs w:val="22"/>
        </w:rPr>
        <w:t>《</w:t>
      </w:r>
      <w:r>
        <w:rPr>
          <w:rFonts w:hint="eastAsia" w:asciiTheme="minorEastAsia" w:hAnsiTheme="minorEastAsia"/>
          <w:color w:val="0000FF"/>
          <w:sz w:val="22"/>
          <w:szCs w:val="22"/>
          <w:lang w:eastAsia="zh-CN"/>
        </w:rPr>
        <w:t>风险</w:t>
      </w:r>
      <w:r>
        <w:rPr>
          <w:rFonts w:hint="eastAsia" w:asciiTheme="minorEastAsia" w:hAnsiTheme="minorEastAsia" w:eastAsiaTheme="minorEastAsia"/>
          <w:color w:val="0000FF"/>
          <w:sz w:val="22"/>
          <w:szCs w:val="22"/>
        </w:rPr>
        <w:t>分析记录表》</w:t>
      </w:r>
      <w:r>
        <w:rPr>
          <w:rFonts w:hint="eastAsia" w:asciiTheme="minorEastAsia" w:hAnsiTheme="minorEastAsia"/>
          <w:color w:val="0000FF"/>
          <w:sz w:val="22"/>
          <w:szCs w:val="22"/>
          <w:lang w:eastAsia="zh-CN"/>
        </w:rPr>
        <w:t>见</w:t>
      </w:r>
      <w:r>
        <w:rPr>
          <w:rFonts w:hint="eastAsia"/>
          <w:sz w:val="22"/>
          <w:szCs w:val="22"/>
          <w:lang w:eastAsia="zh-CN"/>
        </w:rPr>
        <w:t>《安全风险管理制度》附件</w:t>
      </w:r>
      <w:r>
        <w:rPr>
          <w:rFonts w:hint="eastAsia"/>
          <w:sz w:val="22"/>
          <w:szCs w:val="22"/>
          <w:lang w:val="en-US" w:eastAsia="zh-CN"/>
        </w:rPr>
        <w:t>3，</w:t>
      </w:r>
      <w:r>
        <w:rPr>
          <w:rFonts w:hint="eastAsia" w:asciiTheme="minorEastAsia" w:hAnsiTheme="minorEastAsia" w:eastAsiaTheme="minorEastAsia"/>
          <w:sz w:val="22"/>
          <w:szCs w:val="22"/>
        </w:rPr>
        <w:t>并反馈到</w:t>
      </w:r>
      <w:r>
        <w:rPr>
          <w:rFonts w:hint="eastAsia" w:asciiTheme="minorEastAsia" w:hAnsiTheme="minorEastAsia"/>
          <w:color w:val="0000FF"/>
          <w:sz w:val="22"/>
          <w:szCs w:val="22"/>
          <w:lang w:val="en-US" w:eastAsia="zh-CN"/>
        </w:rPr>
        <w:t>XXX部门/人员</w:t>
      </w:r>
      <w:r>
        <w:rPr>
          <w:rFonts w:hint="eastAsia" w:asciiTheme="minorEastAsia" w:hAnsiTheme="minorEastAsia" w:eastAsiaTheme="minorEastAsia"/>
          <w:sz w:val="22"/>
          <w:szCs w:val="22"/>
        </w:rPr>
        <w:t>。</w:t>
      </w:r>
    </w:p>
    <w:p w14:paraId="17E89814">
      <w:pPr>
        <w:pStyle w:val="151"/>
        <w:keepNext w:val="0"/>
        <w:keepLines w:val="0"/>
        <w:pageBreakBefore w:val="0"/>
        <w:widowControl w:val="0"/>
        <w:numPr>
          <w:ilvl w:val="0"/>
          <w:numId w:val="20"/>
        </w:numPr>
        <w:tabs>
          <w:tab w:val="left" w:pos="0"/>
        </w:tabs>
        <w:kinsoku/>
        <w:wordWrap/>
        <w:overflowPunct/>
        <w:topLinePunct w:val="0"/>
        <w:autoSpaceDE/>
        <w:autoSpaceDN/>
        <w:bidi w:val="0"/>
        <w:adjustRightInd w:val="0"/>
        <w:snapToGrid w:val="0"/>
        <w:spacing w:line="240" w:lineRule="auto"/>
        <w:ind w:left="0" w:leftChars="0" w:firstLine="880" w:firstLineChars="400"/>
        <w:textAlignment w:val="auto"/>
        <w:rPr>
          <w:rFonts w:asciiTheme="minorEastAsia" w:hAnsiTheme="minorEastAsia" w:eastAsiaTheme="minorEastAsia"/>
          <w:sz w:val="22"/>
          <w:szCs w:val="22"/>
        </w:rPr>
      </w:pPr>
      <w:r>
        <w:rPr>
          <w:rFonts w:hint="eastAsia" w:asciiTheme="minorEastAsia" w:hAnsiTheme="minorEastAsia" w:eastAsiaTheme="minorEastAsia"/>
          <w:sz w:val="22"/>
          <w:szCs w:val="22"/>
        </w:rPr>
        <w:t>对公司公共区域的</w:t>
      </w:r>
      <w:r>
        <w:rPr>
          <w:rFonts w:hint="eastAsia" w:asciiTheme="minorEastAsia" w:hAnsiTheme="minorEastAsia"/>
          <w:sz w:val="22"/>
          <w:szCs w:val="22"/>
          <w:lang w:eastAsia="zh-CN"/>
        </w:rPr>
        <w:t>风险</w:t>
      </w:r>
      <w:r>
        <w:rPr>
          <w:rFonts w:hint="eastAsia" w:asciiTheme="minorEastAsia" w:hAnsiTheme="minorEastAsia" w:eastAsiaTheme="minorEastAsia"/>
          <w:sz w:val="22"/>
          <w:szCs w:val="22"/>
        </w:rPr>
        <w:t>辨识由</w:t>
      </w:r>
      <w:r>
        <w:rPr>
          <w:rFonts w:hint="eastAsia" w:asciiTheme="minorEastAsia" w:hAnsiTheme="minorEastAsia"/>
          <w:color w:val="0000FF"/>
          <w:sz w:val="22"/>
          <w:szCs w:val="22"/>
          <w:lang w:val="en-US" w:eastAsia="zh-CN"/>
        </w:rPr>
        <w:t>XXX部门/人员</w:t>
      </w:r>
      <w:r>
        <w:rPr>
          <w:rFonts w:hint="eastAsia" w:asciiTheme="minorEastAsia" w:hAnsiTheme="minorEastAsia" w:eastAsiaTheme="minorEastAsia"/>
          <w:sz w:val="22"/>
          <w:szCs w:val="22"/>
        </w:rPr>
        <w:t>进行</w:t>
      </w:r>
      <w:r>
        <w:rPr>
          <w:rFonts w:hint="eastAsia" w:asciiTheme="minorEastAsia" w:hAnsiTheme="minorEastAsia"/>
          <w:sz w:val="22"/>
          <w:szCs w:val="22"/>
          <w:lang w:eastAsia="zh-CN"/>
        </w:rPr>
        <w:t>；</w:t>
      </w:r>
    </w:p>
    <w:p w14:paraId="12530198">
      <w:pPr>
        <w:pStyle w:val="151"/>
        <w:keepNext w:val="0"/>
        <w:keepLines w:val="0"/>
        <w:pageBreakBefore w:val="0"/>
        <w:widowControl w:val="0"/>
        <w:numPr>
          <w:ilvl w:val="0"/>
          <w:numId w:val="20"/>
        </w:numPr>
        <w:tabs>
          <w:tab w:val="left" w:pos="0"/>
        </w:tabs>
        <w:kinsoku/>
        <w:wordWrap/>
        <w:overflowPunct/>
        <w:topLinePunct w:val="0"/>
        <w:autoSpaceDE/>
        <w:autoSpaceDN/>
        <w:bidi w:val="0"/>
        <w:adjustRightInd w:val="0"/>
        <w:snapToGrid w:val="0"/>
        <w:spacing w:line="240" w:lineRule="auto"/>
        <w:ind w:left="0" w:leftChars="0" w:firstLine="880" w:firstLineChars="400"/>
        <w:textAlignment w:val="auto"/>
        <w:rPr>
          <w:rFonts w:hint="eastAsia"/>
        </w:rPr>
      </w:pPr>
      <w:r>
        <w:rPr>
          <w:rFonts w:hint="eastAsia" w:asciiTheme="minorEastAsia" w:hAnsiTheme="minorEastAsia"/>
          <w:color w:val="0000FF"/>
          <w:sz w:val="22"/>
          <w:szCs w:val="22"/>
          <w:lang w:val="en-US" w:eastAsia="zh-CN"/>
        </w:rPr>
        <w:t>XXX部门/人员</w:t>
      </w:r>
      <w:r>
        <w:rPr>
          <w:rFonts w:hint="eastAsia" w:asciiTheme="minorEastAsia" w:hAnsiTheme="minorEastAsia" w:eastAsiaTheme="minorEastAsia"/>
          <w:sz w:val="22"/>
          <w:szCs w:val="22"/>
        </w:rPr>
        <w:t>依据</w:t>
      </w:r>
      <w:r>
        <w:rPr>
          <w:rFonts w:hint="eastAsia" w:asciiTheme="minorEastAsia" w:hAnsiTheme="minorEastAsia" w:eastAsiaTheme="minorEastAsia"/>
          <w:color w:val="0000FF"/>
          <w:sz w:val="22"/>
          <w:szCs w:val="22"/>
        </w:rPr>
        <w:t>《</w:t>
      </w:r>
      <w:r>
        <w:rPr>
          <w:rFonts w:hint="eastAsia" w:asciiTheme="minorEastAsia" w:hAnsiTheme="minorEastAsia"/>
          <w:color w:val="0000FF"/>
          <w:sz w:val="22"/>
          <w:szCs w:val="22"/>
          <w:lang w:eastAsia="zh-CN"/>
        </w:rPr>
        <w:t>风险</w:t>
      </w:r>
      <w:r>
        <w:rPr>
          <w:rFonts w:hint="eastAsia" w:asciiTheme="minorEastAsia" w:hAnsiTheme="minorEastAsia" w:eastAsiaTheme="minorEastAsia"/>
          <w:color w:val="0000FF"/>
          <w:sz w:val="22"/>
          <w:szCs w:val="22"/>
        </w:rPr>
        <w:t>分析记录表》</w:t>
      </w:r>
      <w:r>
        <w:rPr>
          <w:rFonts w:hint="eastAsia" w:asciiTheme="minorEastAsia" w:hAnsiTheme="minorEastAsia" w:eastAsiaTheme="minorEastAsia"/>
          <w:sz w:val="22"/>
          <w:szCs w:val="22"/>
        </w:rPr>
        <w:t>，将汇总分类后的危害因素逐一填入《风险评价表》，组织相关部门和人员进行风险评价，并确定风险等级</w:t>
      </w:r>
      <w:r>
        <w:rPr>
          <w:rFonts w:hint="eastAsia" w:asciiTheme="minorEastAsia" w:hAnsiTheme="minorEastAsia"/>
          <w:sz w:val="22"/>
          <w:szCs w:val="22"/>
          <w:lang w:eastAsia="zh-CN"/>
        </w:rPr>
        <w:t>；</w:t>
      </w:r>
    </w:p>
    <w:p w14:paraId="747E76D3">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r>
        <w:rPr>
          <w:rFonts w:hint="eastAsia"/>
          <w:sz w:val="24"/>
          <w:szCs w:val="24"/>
          <w:lang w:val="en-US" w:eastAsia="zh-CN"/>
        </w:rPr>
        <w:t>3.3 风险评价</w:t>
      </w:r>
      <w:bookmarkEnd w:id="59"/>
      <w:bookmarkEnd w:id="60"/>
      <w:bookmarkEnd w:id="61"/>
      <w:bookmarkEnd w:id="62"/>
      <w:bookmarkEnd w:id="63"/>
    </w:p>
    <w:p w14:paraId="7311B458">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64" w:name="_Toc475021512"/>
      <w:r>
        <w:rPr>
          <w:rFonts w:hint="eastAsia"/>
          <w:sz w:val="24"/>
          <w:szCs w:val="24"/>
          <w:lang w:val="en-US" w:eastAsia="zh-CN"/>
        </w:rPr>
        <w:t>3.3.1 风险评价方法</w:t>
      </w:r>
      <w:bookmarkEnd w:id="64"/>
    </w:p>
    <w:p w14:paraId="3BCCD8A0">
      <w:pPr>
        <w:pStyle w:val="29"/>
        <w:keepNext w:val="0"/>
        <w:keepLines w:val="0"/>
        <w:pageBreakBefore w:val="0"/>
        <w:kinsoku/>
        <w:wordWrap/>
        <w:overflowPunct/>
        <w:topLinePunct w:val="0"/>
        <w:bidi w:val="0"/>
        <w:textAlignment w:val="auto"/>
        <w:rPr>
          <w:rFonts w:hint="eastAsia"/>
          <w:sz w:val="22"/>
          <w:szCs w:val="22"/>
        </w:rPr>
      </w:pPr>
      <w:r>
        <w:rPr>
          <w:rFonts w:hint="eastAsia"/>
          <w:sz w:val="22"/>
          <w:szCs w:val="22"/>
        </w:rPr>
        <w:t>企业对所有风险点识别出的每项危险源，均应进行风险评价。</w:t>
      </w:r>
      <w:r>
        <w:rPr>
          <w:rFonts w:hint="eastAsia"/>
          <w:sz w:val="22"/>
          <w:szCs w:val="22"/>
          <w:lang w:eastAsia="zh-CN"/>
        </w:rPr>
        <w:t>本指导书</w:t>
      </w:r>
      <w:r>
        <w:rPr>
          <w:rFonts w:hint="eastAsia"/>
          <w:sz w:val="22"/>
          <w:szCs w:val="22"/>
        </w:rPr>
        <w:t>采用作业条件危险性分析法（LEC），对风险进行定性、定量评价，以确定其风险程度。</w:t>
      </w:r>
    </w:p>
    <w:p w14:paraId="02407A29">
      <w:pPr>
        <w:pStyle w:val="29"/>
        <w:keepNext w:val="0"/>
        <w:keepLines w:val="0"/>
        <w:pageBreakBefore w:val="0"/>
        <w:kinsoku/>
        <w:wordWrap/>
        <w:overflowPunct/>
        <w:topLinePunct w:val="0"/>
        <w:bidi w:val="0"/>
        <w:textAlignment w:val="auto"/>
        <w:rPr>
          <w:rFonts w:hint="eastAsia"/>
          <w:sz w:val="22"/>
          <w:szCs w:val="22"/>
        </w:rPr>
      </w:pPr>
      <w:r>
        <w:rPr>
          <w:rFonts w:hint="eastAsia"/>
          <w:sz w:val="22"/>
          <w:szCs w:val="22"/>
        </w:rPr>
        <w:t>作业条件危险性分析评价法（简称LEC）。L(likelihood，事故发生的可能性)、E(exposure，人员暴露于危险环境中的频繁程度)和C(consequence，一旦发生事故可能造成的后果)。给三种因素的不同等级分别确定不同的分值，再以三个分值的乘积D(danger，危险性)来评价作业条件危险性的大小，即:D=L×E×C。D值越大，说明该作业活动危险性大、风险大。</w:t>
      </w:r>
    </w:p>
    <w:p w14:paraId="64B5F6AD">
      <w:pPr>
        <w:pStyle w:val="95"/>
        <w:numPr>
          <w:ilvl w:val="0"/>
          <w:numId w:val="0"/>
        </w:numPr>
        <w:spacing w:before="156" w:after="156"/>
        <w:jc w:val="center"/>
        <w:rPr>
          <w:rFonts w:hint="eastAsia" w:ascii="宋体" w:hAnsi="宋体" w:eastAsia="宋体"/>
          <w:b/>
          <w:sz w:val="24"/>
          <w:szCs w:val="24"/>
        </w:rPr>
      </w:pPr>
      <w:r>
        <w:rPr>
          <w:rFonts w:hint="eastAsia" w:ascii="宋体" w:hAnsi="宋体" w:eastAsia="宋体"/>
          <w:b/>
          <w:sz w:val="24"/>
          <w:szCs w:val="24"/>
        </w:rPr>
        <w:t>表1 事故事件发生的可能性（</w:t>
      </w:r>
      <w:r>
        <w:rPr>
          <w:rFonts w:ascii="宋体" w:hAnsi="宋体" w:eastAsia="宋体"/>
          <w:b/>
          <w:sz w:val="24"/>
          <w:szCs w:val="24"/>
        </w:rPr>
        <w:t>L</w:t>
      </w:r>
      <w:r>
        <w:rPr>
          <w:rFonts w:hint="eastAsia" w:ascii="宋体" w:hAnsi="宋体" w:eastAsia="宋体"/>
          <w:b/>
          <w:sz w:val="24"/>
          <w:szCs w:val="24"/>
        </w:rPr>
        <w:t>）判定准则</w:t>
      </w:r>
    </w:p>
    <w:tbl>
      <w:tblPr>
        <w:tblStyle w:val="39"/>
        <w:tblW w:w="8325" w:type="dxa"/>
        <w:jc w:val="center"/>
        <w:shd w:val="clear" w:color="auto" w:fill="auto"/>
        <w:tblLayout w:type="autofit"/>
        <w:tblCellMar>
          <w:top w:w="0" w:type="dxa"/>
          <w:left w:w="108" w:type="dxa"/>
          <w:bottom w:w="0" w:type="dxa"/>
          <w:right w:w="108" w:type="dxa"/>
        </w:tblCellMar>
      </w:tblPr>
      <w:tblGrid>
        <w:gridCol w:w="1080"/>
        <w:gridCol w:w="7245"/>
      </w:tblGrid>
      <w:tr w14:paraId="4B847152">
        <w:tblPrEx>
          <w:shd w:val="clear" w:color="auto" w:fill="auto"/>
          <w:tblCellMar>
            <w:top w:w="0" w:type="dxa"/>
            <w:left w:w="108" w:type="dxa"/>
            <w:bottom w:w="0" w:type="dxa"/>
            <w:right w:w="108" w:type="dxa"/>
          </w:tblCellMar>
        </w:tblPrEx>
        <w:trPr>
          <w:trHeight w:val="49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21328B">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分值</w:t>
            </w:r>
          </w:p>
        </w:tc>
        <w:tc>
          <w:tcPr>
            <w:tcW w:w="7245" w:type="dxa"/>
            <w:tcBorders>
              <w:top w:val="single" w:color="000000" w:sz="8" w:space="0"/>
              <w:left w:val="nil"/>
              <w:bottom w:val="single" w:color="000000" w:sz="8" w:space="0"/>
              <w:right w:val="single" w:color="000000" w:sz="8" w:space="0"/>
            </w:tcBorders>
            <w:shd w:val="clear" w:color="auto" w:fill="auto"/>
            <w:vAlign w:val="center"/>
          </w:tcPr>
          <w:p w14:paraId="56759EC1">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事故、事件或偏差发生的可能性</w:t>
            </w:r>
          </w:p>
        </w:tc>
      </w:tr>
      <w:tr w14:paraId="65341654">
        <w:tblPrEx>
          <w:tblCellMar>
            <w:top w:w="0" w:type="dxa"/>
            <w:left w:w="108" w:type="dxa"/>
            <w:bottom w:w="0" w:type="dxa"/>
            <w:right w:w="108" w:type="dxa"/>
          </w:tblCellMar>
        </w:tblPrEx>
        <w:trPr>
          <w:trHeight w:val="5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6C052EF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7245" w:type="dxa"/>
            <w:tcBorders>
              <w:top w:val="nil"/>
              <w:left w:val="nil"/>
              <w:bottom w:val="single" w:color="000000" w:sz="8" w:space="0"/>
              <w:right w:val="single" w:color="000000" w:sz="8" w:space="0"/>
            </w:tcBorders>
            <w:shd w:val="clear" w:color="auto" w:fill="auto"/>
            <w:vAlign w:val="center"/>
          </w:tcPr>
          <w:p w14:paraId="2E9AD06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56"/>
                <w:rFonts w:hAnsi="宋体"/>
                <w:lang w:bidi="ar"/>
              </w:rPr>
              <w:t>完全可以预料。</w:t>
            </w:r>
            <w:r>
              <w:rPr>
                <w:rStyle w:val="157"/>
                <w:rFonts w:hAnsi="宋体"/>
                <w:lang w:bidi="ar"/>
              </w:rPr>
              <w:t>（在设备设施中时常发生）</w:t>
            </w:r>
          </w:p>
        </w:tc>
      </w:tr>
      <w:tr w14:paraId="192C748D">
        <w:tblPrEx>
          <w:shd w:val="clear" w:color="auto" w:fill="auto"/>
          <w:tblCellMar>
            <w:top w:w="0" w:type="dxa"/>
            <w:left w:w="108" w:type="dxa"/>
            <w:bottom w:w="0" w:type="dxa"/>
            <w:right w:w="108" w:type="dxa"/>
          </w:tblCellMar>
        </w:tblPrEx>
        <w:trPr>
          <w:trHeight w:val="108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6BBA0AF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7245" w:type="dxa"/>
            <w:tcBorders>
              <w:top w:val="nil"/>
              <w:left w:val="nil"/>
              <w:bottom w:val="single" w:color="000000" w:sz="8" w:space="0"/>
              <w:right w:val="single" w:color="000000" w:sz="8" w:space="0"/>
            </w:tcBorders>
            <w:shd w:val="clear" w:color="auto" w:fill="auto"/>
            <w:vAlign w:val="center"/>
          </w:tcPr>
          <w:p w14:paraId="42D5E2D8">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156"/>
                <w:rFonts w:hAnsi="宋体"/>
                <w:lang w:bidi="ar"/>
              </w:rPr>
              <w:t>相当可能；或危害的发生不能被发现（没有监测系统）；或在现场没有采取防范、监测、保护、控制措施；或在正常情况下经常发生此类事故、事件或偏差。</w:t>
            </w:r>
            <w:r>
              <w:rPr>
                <w:rStyle w:val="157"/>
                <w:rFonts w:hAnsi="宋体"/>
                <w:lang w:bidi="ar"/>
              </w:rPr>
              <w:t>（</w:t>
            </w:r>
            <w:r>
              <w:rPr>
                <w:rStyle w:val="158"/>
                <w:lang w:bidi="ar"/>
              </w:rPr>
              <w:t>可能在设施使用寿命中至少发生一次</w:t>
            </w:r>
            <w:r>
              <w:rPr>
                <w:rStyle w:val="157"/>
                <w:rFonts w:hAnsi="宋体"/>
                <w:lang w:bidi="ar"/>
              </w:rPr>
              <w:t>）</w:t>
            </w:r>
          </w:p>
        </w:tc>
      </w:tr>
      <w:tr w14:paraId="3556F780">
        <w:tblPrEx>
          <w:shd w:val="clear" w:color="auto" w:fill="auto"/>
          <w:tblCellMar>
            <w:top w:w="0" w:type="dxa"/>
            <w:left w:w="108" w:type="dxa"/>
            <w:bottom w:w="0" w:type="dxa"/>
            <w:right w:w="108" w:type="dxa"/>
          </w:tblCellMar>
        </w:tblPrEx>
        <w:trPr>
          <w:trHeight w:val="127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4D3AEC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7245" w:type="dxa"/>
            <w:tcBorders>
              <w:top w:val="nil"/>
              <w:left w:val="nil"/>
              <w:bottom w:val="single" w:color="000000" w:sz="8" w:space="0"/>
              <w:right w:val="single" w:color="000000" w:sz="8" w:space="0"/>
            </w:tcBorders>
            <w:shd w:val="clear" w:color="auto" w:fill="auto"/>
            <w:vAlign w:val="center"/>
          </w:tcPr>
          <w:p w14:paraId="1A616E72">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156"/>
                <w:rFonts w:hAnsi="宋体"/>
                <w:lang w:bidi="ar"/>
              </w:rPr>
              <w:t>可能，但不经常；或危害的发生不容易被发现；现场没有检测系统或保护措施（如没有保护装置、没有个人防护用品等），也未作过任何监测；或未严格按操作规程执行；或在现场有控制措施，但未有效执行或控制措施不当；或危害在预期情况下发生。</w:t>
            </w:r>
            <w:r>
              <w:rPr>
                <w:rStyle w:val="157"/>
                <w:rFonts w:hAnsi="宋体"/>
                <w:lang w:bidi="ar"/>
              </w:rPr>
              <w:t>（</w:t>
            </w:r>
            <w:r>
              <w:rPr>
                <w:rStyle w:val="158"/>
                <w:lang w:bidi="ar"/>
              </w:rPr>
              <w:t>可能在设施使用寿命中发生一次</w:t>
            </w:r>
            <w:r>
              <w:rPr>
                <w:rStyle w:val="157"/>
                <w:rFonts w:hAnsi="宋体"/>
                <w:lang w:bidi="ar"/>
              </w:rPr>
              <w:t>）</w:t>
            </w:r>
          </w:p>
        </w:tc>
      </w:tr>
      <w:tr w14:paraId="49054D7C">
        <w:tblPrEx>
          <w:shd w:val="clear" w:color="auto" w:fill="auto"/>
          <w:tblCellMar>
            <w:top w:w="0" w:type="dxa"/>
            <w:left w:w="108" w:type="dxa"/>
            <w:bottom w:w="0" w:type="dxa"/>
            <w:right w:w="108" w:type="dxa"/>
          </w:tblCellMar>
        </w:tblPrEx>
        <w:trPr>
          <w:trHeight w:val="106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3D34F42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7245" w:type="dxa"/>
            <w:tcBorders>
              <w:top w:val="nil"/>
              <w:left w:val="nil"/>
              <w:bottom w:val="single" w:color="000000" w:sz="8" w:space="0"/>
              <w:right w:val="single" w:color="000000" w:sz="8" w:space="0"/>
            </w:tcBorders>
            <w:shd w:val="clear" w:color="auto" w:fill="auto"/>
            <w:vAlign w:val="center"/>
          </w:tcPr>
          <w:p w14:paraId="2F99102B">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156"/>
                <w:rFonts w:hAnsi="宋体"/>
                <w:lang w:bidi="ar"/>
              </w:rPr>
              <w:t>可能性小，完全意外；或危害的发生容易被发现；现场有监测系统或曾经作过监测；或过去曾经发生类似事故、事件或偏差；或在异常情况下发生过类似事故、事件或偏差。</w:t>
            </w:r>
            <w:r>
              <w:rPr>
                <w:rStyle w:val="157"/>
                <w:rFonts w:hAnsi="宋体"/>
                <w:lang w:bidi="ar"/>
              </w:rPr>
              <w:t>（</w:t>
            </w:r>
            <w:r>
              <w:rPr>
                <w:rStyle w:val="158"/>
                <w:lang w:bidi="ar"/>
              </w:rPr>
              <w:t xml:space="preserve">在设施使用寿命中有 </w:t>
            </w:r>
            <w:r>
              <w:rPr>
                <w:rStyle w:val="159"/>
                <w:rFonts w:eastAsia="仿宋_GB2312"/>
                <w:lang w:bidi="ar"/>
              </w:rPr>
              <w:t xml:space="preserve">1/10 </w:t>
            </w:r>
            <w:r>
              <w:rPr>
                <w:rStyle w:val="158"/>
                <w:lang w:bidi="ar"/>
              </w:rPr>
              <w:t>的发生概率</w:t>
            </w:r>
            <w:r>
              <w:rPr>
                <w:rStyle w:val="157"/>
                <w:rFonts w:hAnsi="宋体"/>
                <w:lang w:bidi="ar"/>
              </w:rPr>
              <w:t>）</w:t>
            </w:r>
          </w:p>
        </w:tc>
      </w:tr>
      <w:tr w14:paraId="6A326958">
        <w:tblPrEx>
          <w:shd w:val="clear" w:color="auto" w:fill="auto"/>
          <w:tblCellMar>
            <w:top w:w="0" w:type="dxa"/>
            <w:left w:w="108" w:type="dxa"/>
            <w:bottom w:w="0" w:type="dxa"/>
            <w:right w:w="108" w:type="dxa"/>
          </w:tblCellMar>
        </w:tblPrEx>
        <w:trPr>
          <w:trHeight w:val="74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08F6D86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c>
          <w:tcPr>
            <w:tcW w:w="7245" w:type="dxa"/>
            <w:tcBorders>
              <w:top w:val="nil"/>
              <w:left w:val="nil"/>
              <w:bottom w:val="single" w:color="000000" w:sz="8" w:space="0"/>
              <w:right w:val="single" w:color="000000" w:sz="8" w:space="0"/>
            </w:tcBorders>
            <w:shd w:val="clear" w:color="auto" w:fill="auto"/>
            <w:vAlign w:val="center"/>
          </w:tcPr>
          <w:p w14:paraId="562C1A49">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156"/>
                <w:rFonts w:hAnsi="宋体"/>
                <w:lang w:bidi="ar"/>
              </w:rPr>
              <w:t>很不可能，可以设想；危害一旦发生能及时发现，并能定期进行监测。</w:t>
            </w:r>
            <w:r>
              <w:rPr>
                <w:rStyle w:val="157"/>
                <w:rFonts w:hAnsi="宋体"/>
                <w:lang w:bidi="ar"/>
              </w:rPr>
              <w:t>（</w:t>
            </w:r>
            <w:r>
              <w:rPr>
                <w:rStyle w:val="158"/>
                <w:lang w:bidi="ar"/>
              </w:rPr>
              <w:t>在其他地方曾经发生过类似事件</w:t>
            </w:r>
            <w:r>
              <w:rPr>
                <w:rStyle w:val="157"/>
                <w:rFonts w:hAnsi="宋体"/>
                <w:lang w:bidi="ar"/>
              </w:rPr>
              <w:t>）</w:t>
            </w:r>
          </w:p>
        </w:tc>
      </w:tr>
      <w:tr w14:paraId="077652EA">
        <w:tblPrEx>
          <w:shd w:val="clear" w:color="auto" w:fill="auto"/>
          <w:tblCellMar>
            <w:top w:w="0" w:type="dxa"/>
            <w:left w:w="108" w:type="dxa"/>
            <w:bottom w:w="0" w:type="dxa"/>
            <w:right w:w="108" w:type="dxa"/>
          </w:tblCellMar>
        </w:tblPrEx>
        <w:trPr>
          <w:trHeight w:val="855"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2A83FE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0.2</w:t>
            </w:r>
          </w:p>
        </w:tc>
        <w:tc>
          <w:tcPr>
            <w:tcW w:w="7245" w:type="dxa"/>
            <w:tcBorders>
              <w:top w:val="nil"/>
              <w:left w:val="nil"/>
              <w:bottom w:val="single" w:color="000000" w:sz="8" w:space="0"/>
              <w:right w:val="single" w:color="000000" w:sz="8" w:space="0"/>
            </w:tcBorders>
            <w:shd w:val="clear" w:color="auto" w:fill="auto"/>
            <w:vAlign w:val="center"/>
          </w:tcPr>
          <w:p w14:paraId="1FC306AE">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156"/>
                <w:rFonts w:hAnsi="宋体"/>
                <w:lang w:bidi="ar"/>
              </w:rPr>
              <w:t>极不可能；有充分、有效的防范、控制、监测、保护措施；或员工安全卫生意识相当高，严格执行操作规程。</w:t>
            </w:r>
            <w:r>
              <w:rPr>
                <w:rStyle w:val="157"/>
                <w:rFonts w:hAnsi="宋体"/>
                <w:lang w:bidi="ar"/>
              </w:rPr>
              <w:t>（</w:t>
            </w:r>
            <w:r>
              <w:rPr>
                <w:rStyle w:val="158"/>
                <w:lang w:bidi="ar"/>
              </w:rPr>
              <w:t>工业领域尚未发生过类似事件）</w:t>
            </w:r>
          </w:p>
        </w:tc>
      </w:tr>
      <w:tr w14:paraId="062BBE8D">
        <w:tblPrEx>
          <w:shd w:val="clear" w:color="auto" w:fill="auto"/>
          <w:tblCellMar>
            <w:top w:w="0" w:type="dxa"/>
            <w:left w:w="108" w:type="dxa"/>
            <w:bottom w:w="0" w:type="dxa"/>
            <w:right w:w="108" w:type="dxa"/>
          </w:tblCellMar>
        </w:tblPrEx>
        <w:trPr>
          <w:trHeight w:val="620" w:hRule="atLeast"/>
          <w:jc w:val="center"/>
        </w:trPr>
        <w:tc>
          <w:tcPr>
            <w:tcW w:w="1080" w:type="dxa"/>
            <w:tcBorders>
              <w:top w:val="nil"/>
              <w:left w:val="single" w:color="000000" w:sz="8" w:space="0"/>
              <w:bottom w:val="single" w:color="000000" w:sz="8" w:space="0"/>
              <w:right w:val="single" w:color="000000" w:sz="8" w:space="0"/>
            </w:tcBorders>
            <w:shd w:val="clear" w:color="auto" w:fill="auto"/>
            <w:vAlign w:val="center"/>
          </w:tcPr>
          <w:p w14:paraId="7AC978F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0.1</w:t>
            </w:r>
          </w:p>
        </w:tc>
        <w:tc>
          <w:tcPr>
            <w:tcW w:w="7245" w:type="dxa"/>
            <w:tcBorders>
              <w:top w:val="nil"/>
              <w:left w:val="nil"/>
              <w:bottom w:val="single" w:color="000000" w:sz="8" w:space="0"/>
              <w:right w:val="single" w:color="000000" w:sz="8" w:space="0"/>
            </w:tcBorders>
            <w:shd w:val="clear" w:color="auto" w:fill="auto"/>
            <w:vAlign w:val="center"/>
          </w:tcPr>
          <w:p w14:paraId="5BB6F516">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156"/>
                <w:rFonts w:hAnsi="宋体"/>
                <w:lang w:bidi="ar"/>
              </w:rPr>
              <w:t>实际不可能。</w:t>
            </w:r>
            <w:r>
              <w:rPr>
                <w:rStyle w:val="157"/>
                <w:rFonts w:hAnsi="宋体"/>
                <w:lang w:bidi="ar"/>
              </w:rPr>
              <w:t>（</w:t>
            </w:r>
            <w:r>
              <w:rPr>
                <w:rStyle w:val="158"/>
                <w:lang w:bidi="ar"/>
              </w:rPr>
              <w:t>工业中不可能发生的事件）</w:t>
            </w:r>
          </w:p>
        </w:tc>
      </w:tr>
    </w:tbl>
    <w:p w14:paraId="79594455">
      <w:pPr>
        <w:pStyle w:val="95"/>
        <w:numPr>
          <w:ilvl w:val="0"/>
          <w:numId w:val="0"/>
        </w:numPr>
        <w:spacing w:before="156" w:after="156"/>
        <w:jc w:val="center"/>
        <w:rPr>
          <w:rFonts w:hint="eastAsia" w:ascii="宋体" w:hAnsi="宋体" w:eastAsia="宋体"/>
          <w:b/>
          <w:sz w:val="24"/>
          <w:szCs w:val="24"/>
        </w:rPr>
      </w:pPr>
      <w:r>
        <w:rPr>
          <w:rFonts w:hint="eastAsia" w:ascii="宋体" w:hAnsi="宋体" w:eastAsia="宋体"/>
          <w:b/>
          <w:sz w:val="24"/>
          <w:szCs w:val="24"/>
        </w:rPr>
        <w:t>表2</w:t>
      </w:r>
      <w:r>
        <w:rPr>
          <w:rFonts w:hint="eastAsia" w:ascii="宋体" w:hAnsi="宋体" w:eastAsia="宋体"/>
          <w:b/>
          <w:sz w:val="24"/>
          <w:szCs w:val="24"/>
          <w:lang w:val="en-US" w:eastAsia="zh-CN"/>
        </w:rPr>
        <w:t xml:space="preserve"> </w:t>
      </w:r>
      <w:r>
        <w:rPr>
          <w:rFonts w:hint="eastAsia" w:ascii="宋体" w:hAnsi="宋体" w:eastAsia="宋体"/>
          <w:b/>
          <w:sz w:val="24"/>
          <w:szCs w:val="24"/>
        </w:rPr>
        <w:t>暴露于危险环境的频繁程度（E）判定准则</w:t>
      </w:r>
    </w:p>
    <w:tbl>
      <w:tblPr>
        <w:tblStyle w:val="39"/>
        <w:tblW w:w="7186" w:type="dxa"/>
        <w:jc w:val="center"/>
        <w:shd w:val="clear" w:color="auto" w:fill="auto"/>
        <w:tblLayout w:type="autofit"/>
        <w:tblCellMar>
          <w:top w:w="0" w:type="dxa"/>
          <w:left w:w="108" w:type="dxa"/>
          <w:bottom w:w="0" w:type="dxa"/>
          <w:right w:w="108" w:type="dxa"/>
        </w:tblCellMar>
      </w:tblPr>
      <w:tblGrid>
        <w:gridCol w:w="1575"/>
        <w:gridCol w:w="2288"/>
        <w:gridCol w:w="1282"/>
        <w:gridCol w:w="2041"/>
      </w:tblGrid>
      <w:tr w14:paraId="33A68C26">
        <w:tblPrEx>
          <w:tblCellMar>
            <w:top w:w="0" w:type="dxa"/>
            <w:left w:w="108" w:type="dxa"/>
            <w:bottom w:w="0" w:type="dxa"/>
            <w:right w:w="108" w:type="dxa"/>
          </w:tblCellMar>
        </w:tblPrEx>
        <w:trPr>
          <w:trHeight w:val="495" w:hRule="atLeast"/>
          <w:jc w:val="center"/>
        </w:trPr>
        <w:tc>
          <w:tcPr>
            <w:tcW w:w="15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183FB">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分值</w:t>
            </w:r>
          </w:p>
        </w:tc>
        <w:tc>
          <w:tcPr>
            <w:tcW w:w="2288" w:type="dxa"/>
            <w:tcBorders>
              <w:top w:val="single" w:color="000000" w:sz="8" w:space="0"/>
              <w:left w:val="nil"/>
              <w:bottom w:val="single" w:color="000000" w:sz="8" w:space="0"/>
              <w:right w:val="single" w:color="000000" w:sz="8" w:space="0"/>
            </w:tcBorders>
            <w:shd w:val="clear" w:color="auto" w:fill="auto"/>
            <w:vAlign w:val="center"/>
          </w:tcPr>
          <w:p w14:paraId="5F80D814">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频繁程度</w:t>
            </w:r>
          </w:p>
        </w:tc>
        <w:tc>
          <w:tcPr>
            <w:tcW w:w="1282" w:type="dxa"/>
            <w:tcBorders>
              <w:top w:val="single" w:color="000000" w:sz="8" w:space="0"/>
              <w:left w:val="nil"/>
              <w:bottom w:val="single" w:color="000000" w:sz="8" w:space="0"/>
              <w:right w:val="single" w:color="000000" w:sz="8" w:space="0"/>
            </w:tcBorders>
            <w:shd w:val="clear" w:color="auto" w:fill="auto"/>
            <w:vAlign w:val="center"/>
          </w:tcPr>
          <w:p w14:paraId="7B441974">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分值</w:t>
            </w:r>
          </w:p>
        </w:tc>
        <w:tc>
          <w:tcPr>
            <w:tcW w:w="2041" w:type="dxa"/>
            <w:tcBorders>
              <w:top w:val="single" w:color="000000" w:sz="8" w:space="0"/>
              <w:left w:val="nil"/>
              <w:bottom w:val="single" w:color="000000" w:sz="8" w:space="0"/>
              <w:right w:val="single" w:color="000000" w:sz="8" w:space="0"/>
            </w:tcBorders>
            <w:shd w:val="clear" w:color="auto" w:fill="auto"/>
            <w:vAlign w:val="center"/>
          </w:tcPr>
          <w:p w14:paraId="685438C7">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频繁程度</w:t>
            </w:r>
          </w:p>
        </w:tc>
      </w:tr>
      <w:tr w14:paraId="00BE8A8C">
        <w:tblPrEx>
          <w:tblCellMar>
            <w:top w:w="0" w:type="dxa"/>
            <w:left w:w="108" w:type="dxa"/>
            <w:bottom w:w="0" w:type="dxa"/>
            <w:right w:w="108" w:type="dxa"/>
          </w:tblCellMar>
        </w:tblPrEx>
        <w:trPr>
          <w:trHeight w:val="540"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14:paraId="17C3FDC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2288" w:type="dxa"/>
            <w:tcBorders>
              <w:top w:val="nil"/>
              <w:left w:val="nil"/>
              <w:bottom w:val="single" w:color="000000" w:sz="8" w:space="0"/>
              <w:right w:val="single" w:color="000000" w:sz="8" w:space="0"/>
            </w:tcBorders>
            <w:shd w:val="clear" w:color="auto" w:fill="auto"/>
            <w:vAlign w:val="center"/>
          </w:tcPr>
          <w:p w14:paraId="7C492C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连续暴露</w:t>
            </w:r>
          </w:p>
        </w:tc>
        <w:tc>
          <w:tcPr>
            <w:tcW w:w="1282" w:type="dxa"/>
            <w:tcBorders>
              <w:top w:val="nil"/>
              <w:left w:val="nil"/>
              <w:bottom w:val="single" w:color="000000" w:sz="8" w:space="0"/>
              <w:right w:val="single" w:color="000000" w:sz="8" w:space="0"/>
            </w:tcBorders>
            <w:shd w:val="clear" w:color="auto" w:fill="auto"/>
            <w:vAlign w:val="center"/>
          </w:tcPr>
          <w:p w14:paraId="32E8329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041" w:type="dxa"/>
            <w:tcBorders>
              <w:top w:val="nil"/>
              <w:left w:val="nil"/>
              <w:bottom w:val="single" w:color="000000" w:sz="8" w:space="0"/>
              <w:right w:val="single" w:color="000000" w:sz="8" w:space="0"/>
            </w:tcBorders>
            <w:shd w:val="clear" w:color="auto" w:fill="auto"/>
            <w:vAlign w:val="center"/>
          </w:tcPr>
          <w:p w14:paraId="2EAD325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每月一次暴露</w:t>
            </w:r>
          </w:p>
        </w:tc>
      </w:tr>
      <w:tr w14:paraId="3A63A88C">
        <w:tblPrEx>
          <w:tblCellMar>
            <w:top w:w="0" w:type="dxa"/>
            <w:left w:w="108" w:type="dxa"/>
            <w:bottom w:w="0" w:type="dxa"/>
            <w:right w:w="108" w:type="dxa"/>
          </w:tblCellMar>
        </w:tblPrEx>
        <w:trPr>
          <w:trHeight w:val="722"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14:paraId="1B62F3C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2288" w:type="dxa"/>
            <w:tcBorders>
              <w:top w:val="nil"/>
              <w:left w:val="nil"/>
              <w:bottom w:val="single" w:color="000000" w:sz="8" w:space="0"/>
              <w:right w:val="single" w:color="000000" w:sz="8" w:space="0"/>
            </w:tcBorders>
            <w:shd w:val="clear" w:color="auto" w:fill="auto"/>
            <w:vAlign w:val="center"/>
          </w:tcPr>
          <w:p w14:paraId="098BC24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每天工作时间内暴露</w:t>
            </w:r>
          </w:p>
        </w:tc>
        <w:tc>
          <w:tcPr>
            <w:tcW w:w="1282" w:type="dxa"/>
            <w:tcBorders>
              <w:top w:val="nil"/>
              <w:left w:val="nil"/>
              <w:bottom w:val="single" w:color="000000" w:sz="8" w:space="0"/>
              <w:right w:val="single" w:color="000000" w:sz="8" w:space="0"/>
            </w:tcBorders>
            <w:shd w:val="clear" w:color="auto" w:fill="auto"/>
            <w:vAlign w:val="center"/>
          </w:tcPr>
          <w:p w14:paraId="73B098F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041" w:type="dxa"/>
            <w:tcBorders>
              <w:top w:val="nil"/>
              <w:left w:val="nil"/>
              <w:bottom w:val="single" w:color="000000" w:sz="8" w:space="0"/>
              <w:right w:val="single" w:color="000000" w:sz="8" w:space="0"/>
            </w:tcBorders>
            <w:shd w:val="clear" w:color="auto" w:fill="auto"/>
            <w:vAlign w:val="center"/>
          </w:tcPr>
          <w:p w14:paraId="1B9D7A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每年几次暴露</w:t>
            </w:r>
          </w:p>
        </w:tc>
      </w:tr>
      <w:tr w14:paraId="10256A59">
        <w:tblPrEx>
          <w:tblCellMar>
            <w:top w:w="0" w:type="dxa"/>
            <w:left w:w="108" w:type="dxa"/>
            <w:bottom w:w="0" w:type="dxa"/>
            <w:right w:w="108" w:type="dxa"/>
          </w:tblCellMar>
        </w:tblPrEx>
        <w:trPr>
          <w:trHeight w:val="614" w:hRule="atLeast"/>
          <w:jc w:val="center"/>
        </w:trPr>
        <w:tc>
          <w:tcPr>
            <w:tcW w:w="1575" w:type="dxa"/>
            <w:tcBorders>
              <w:top w:val="nil"/>
              <w:left w:val="single" w:color="000000" w:sz="8" w:space="0"/>
              <w:bottom w:val="single" w:color="000000" w:sz="8" w:space="0"/>
              <w:right w:val="single" w:color="000000" w:sz="8" w:space="0"/>
            </w:tcBorders>
            <w:shd w:val="clear" w:color="auto" w:fill="auto"/>
            <w:vAlign w:val="center"/>
          </w:tcPr>
          <w:p w14:paraId="0799022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288" w:type="dxa"/>
            <w:tcBorders>
              <w:top w:val="nil"/>
              <w:left w:val="nil"/>
              <w:bottom w:val="single" w:color="000000" w:sz="8" w:space="0"/>
              <w:right w:val="single" w:color="000000" w:sz="8" w:space="0"/>
            </w:tcBorders>
            <w:shd w:val="clear" w:color="auto" w:fill="auto"/>
            <w:vAlign w:val="center"/>
          </w:tcPr>
          <w:p w14:paraId="2F14AEB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每周一次或偶然暴露</w:t>
            </w:r>
          </w:p>
        </w:tc>
        <w:tc>
          <w:tcPr>
            <w:tcW w:w="1282" w:type="dxa"/>
            <w:tcBorders>
              <w:top w:val="nil"/>
              <w:left w:val="nil"/>
              <w:bottom w:val="single" w:color="000000" w:sz="8" w:space="0"/>
              <w:right w:val="single" w:color="000000" w:sz="8" w:space="0"/>
            </w:tcBorders>
            <w:shd w:val="clear" w:color="auto" w:fill="auto"/>
            <w:vAlign w:val="center"/>
          </w:tcPr>
          <w:p w14:paraId="69EFA68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c>
          <w:tcPr>
            <w:tcW w:w="2041" w:type="dxa"/>
            <w:tcBorders>
              <w:top w:val="nil"/>
              <w:left w:val="nil"/>
              <w:bottom w:val="single" w:color="000000" w:sz="8" w:space="0"/>
              <w:right w:val="single" w:color="000000" w:sz="8" w:space="0"/>
            </w:tcBorders>
            <w:shd w:val="clear" w:color="auto" w:fill="auto"/>
            <w:vAlign w:val="center"/>
          </w:tcPr>
          <w:p w14:paraId="508C404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非常罕见地暴露</w:t>
            </w:r>
          </w:p>
        </w:tc>
      </w:tr>
    </w:tbl>
    <w:p w14:paraId="27D55D19">
      <w:pPr>
        <w:pStyle w:val="95"/>
        <w:numPr>
          <w:ilvl w:val="0"/>
          <w:numId w:val="0"/>
        </w:numPr>
        <w:spacing w:before="156" w:after="156"/>
        <w:jc w:val="center"/>
        <w:rPr>
          <w:rFonts w:hint="eastAsia" w:ascii="宋体" w:hAnsi="宋体" w:eastAsia="宋体"/>
          <w:b/>
          <w:sz w:val="24"/>
          <w:szCs w:val="24"/>
        </w:rPr>
      </w:pPr>
      <w:r>
        <w:rPr>
          <w:rFonts w:hint="eastAsia" w:ascii="宋体" w:hAnsi="宋体" w:eastAsia="宋体"/>
          <w:b/>
          <w:sz w:val="24"/>
          <w:szCs w:val="24"/>
        </w:rPr>
        <w:t>表3</w:t>
      </w:r>
      <w:r>
        <w:rPr>
          <w:rFonts w:hint="eastAsia" w:ascii="宋体" w:hAnsi="宋体" w:eastAsia="宋体"/>
          <w:b/>
          <w:sz w:val="24"/>
          <w:szCs w:val="24"/>
          <w:lang w:val="en-US" w:eastAsia="zh-CN"/>
        </w:rPr>
        <w:t xml:space="preserve"> </w:t>
      </w:r>
      <w:r>
        <w:rPr>
          <w:rFonts w:hint="eastAsia" w:ascii="宋体" w:hAnsi="宋体" w:eastAsia="宋体"/>
          <w:b/>
          <w:sz w:val="24"/>
          <w:szCs w:val="24"/>
        </w:rPr>
        <w:t>发生事故事件偏差产生的后果严重性（C）判定准则</w:t>
      </w:r>
    </w:p>
    <w:tbl>
      <w:tblPr>
        <w:tblStyle w:val="39"/>
        <w:tblW w:w="9405" w:type="dxa"/>
        <w:jc w:val="center"/>
        <w:shd w:val="clear" w:color="auto" w:fill="auto"/>
        <w:tblLayout w:type="autofit"/>
        <w:tblCellMar>
          <w:top w:w="0" w:type="dxa"/>
          <w:left w:w="108" w:type="dxa"/>
          <w:bottom w:w="0" w:type="dxa"/>
          <w:right w:w="108" w:type="dxa"/>
        </w:tblCellMar>
      </w:tblPr>
      <w:tblGrid>
        <w:gridCol w:w="978"/>
        <w:gridCol w:w="2008"/>
        <w:gridCol w:w="1730"/>
        <w:gridCol w:w="1858"/>
        <w:gridCol w:w="1177"/>
        <w:gridCol w:w="1654"/>
      </w:tblGrid>
      <w:tr w14:paraId="702D7171">
        <w:tblPrEx>
          <w:tblCellMar>
            <w:top w:w="0" w:type="dxa"/>
            <w:left w:w="108" w:type="dxa"/>
            <w:bottom w:w="0" w:type="dxa"/>
            <w:right w:w="108" w:type="dxa"/>
          </w:tblCellMar>
        </w:tblPrEx>
        <w:trPr>
          <w:trHeight w:val="495" w:hRule="atLeast"/>
          <w:jc w:val="center"/>
        </w:trPr>
        <w:tc>
          <w:tcPr>
            <w:tcW w:w="9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96561">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分值</w:t>
            </w:r>
          </w:p>
        </w:tc>
        <w:tc>
          <w:tcPr>
            <w:tcW w:w="2008" w:type="dxa"/>
            <w:tcBorders>
              <w:top w:val="single" w:color="000000" w:sz="8" w:space="0"/>
              <w:left w:val="nil"/>
              <w:bottom w:val="single" w:color="000000" w:sz="8" w:space="0"/>
              <w:right w:val="single" w:color="000000" w:sz="8" w:space="0"/>
            </w:tcBorders>
            <w:shd w:val="clear" w:color="auto" w:fill="auto"/>
            <w:vAlign w:val="center"/>
          </w:tcPr>
          <w:p w14:paraId="7BE58A5D">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法律法规及其他要求</w:t>
            </w:r>
          </w:p>
        </w:tc>
        <w:tc>
          <w:tcPr>
            <w:tcW w:w="1730" w:type="dxa"/>
            <w:tcBorders>
              <w:top w:val="single" w:color="000000" w:sz="8" w:space="0"/>
              <w:left w:val="nil"/>
              <w:bottom w:val="single" w:color="000000" w:sz="8" w:space="0"/>
              <w:right w:val="single" w:color="000000" w:sz="8" w:space="0"/>
            </w:tcBorders>
            <w:shd w:val="clear" w:color="auto" w:fill="auto"/>
            <w:vAlign w:val="center"/>
          </w:tcPr>
          <w:p w14:paraId="6D180630">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人员伤亡</w:t>
            </w:r>
          </w:p>
        </w:tc>
        <w:tc>
          <w:tcPr>
            <w:tcW w:w="1858" w:type="dxa"/>
            <w:tcBorders>
              <w:top w:val="single" w:color="000000" w:sz="8" w:space="0"/>
              <w:left w:val="nil"/>
              <w:bottom w:val="nil"/>
              <w:right w:val="single" w:color="000000" w:sz="8" w:space="0"/>
            </w:tcBorders>
            <w:shd w:val="clear" w:color="auto" w:fill="auto"/>
            <w:vAlign w:val="center"/>
          </w:tcPr>
          <w:p w14:paraId="4EFEE773">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财产损失（万元）</w:t>
            </w:r>
          </w:p>
        </w:tc>
        <w:tc>
          <w:tcPr>
            <w:tcW w:w="1177" w:type="dxa"/>
            <w:tcBorders>
              <w:top w:val="single" w:color="000000" w:sz="8" w:space="0"/>
              <w:left w:val="nil"/>
              <w:bottom w:val="single" w:color="000000" w:sz="8" w:space="0"/>
              <w:right w:val="single" w:color="000000" w:sz="8" w:space="0"/>
            </w:tcBorders>
            <w:shd w:val="clear" w:color="auto" w:fill="auto"/>
            <w:vAlign w:val="center"/>
          </w:tcPr>
          <w:p w14:paraId="35148B24">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停工</w:t>
            </w:r>
          </w:p>
        </w:tc>
        <w:tc>
          <w:tcPr>
            <w:tcW w:w="1654" w:type="dxa"/>
            <w:tcBorders>
              <w:top w:val="single" w:color="000000" w:sz="8" w:space="0"/>
              <w:left w:val="nil"/>
              <w:bottom w:val="single" w:color="000000" w:sz="8" w:space="0"/>
              <w:right w:val="single" w:color="000000" w:sz="8" w:space="0"/>
            </w:tcBorders>
            <w:shd w:val="clear" w:color="auto" w:fill="auto"/>
            <w:vAlign w:val="center"/>
          </w:tcPr>
          <w:p w14:paraId="677B045D">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公司形象</w:t>
            </w:r>
          </w:p>
        </w:tc>
      </w:tr>
      <w:tr w14:paraId="38215490">
        <w:tblPrEx>
          <w:shd w:val="clear" w:color="auto" w:fill="auto"/>
          <w:tblCellMar>
            <w:top w:w="0" w:type="dxa"/>
            <w:left w:w="108" w:type="dxa"/>
            <w:bottom w:w="0" w:type="dxa"/>
            <w:right w:w="108" w:type="dxa"/>
          </w:tblCellMar>
        </w:tblPrEx>
        <w:trPr>
          <w:trHeight w:val="540" w:hRule="atLeast"/>
          <w:jc w:val="center"/>
        </w:trPr>
        <w:tc>
          <w:tcPr>
            <w:tcW w:w="9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F4D3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100</w:t>
            </w:r>
          </w:p>
        </w:tc>
        <w:tc>
          <w:tcPr>
            <w:tcW w:w="2008" w:type="dxa"/>
            <w:tcBorders>
              <w:top w:val="single" w:color="000000" w:sz="8" w:space="0"/>
              <w:left w:val="nil"/>
              <w:bottom w:val="single" w:color="000000" w:sz="8" w:space="0"/>
              <w:right w:val="single" w:color="000000" w:sz="8" w:space="0"/>
            </w:tcBorders>
            <w:shd w:val="clear" w:color="auto" w:fill="auto"/>
            <w:vAlign w:val="center"/>
          </w:tcPr>
          <w:p w14:paraId="64622F02">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严重违反法律法规和标准。</w:t>
            </w:r>
          </w:p>
        </w:tc>
        <w:tc>
          <w:tcPr>
            <w:tcW w:w="1730" w:type="dxa"/>
            <w:tcBorders>
              <w:top w:val="single" w:color="000000" w:sz="8" w:space="0"/>
              <w:left w:val="nil"/>
              <w:bottom w:val="single" w:color="000000" w:sz="8" w:space="0"/>
              <w:right w:val="single" w:color="000000" w:sz="8" w:space="0"/>
            </w:tcBorders>
            <w:shd w:val="clear" w:color="auto" w:fill="auto"/>
            <w:vAlign w:val="center"/>
          </w:tcPr>
          <w:p w14:paraId="23DE2DA4">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10人以上死亡，或50人以上重伤。</w:t>
            </w:r>
          </w:p>
        </w:tc>
        <w:tc>
          <w:tcPr>
            <w:tcW w:w="1858" w:type="dxa"/>
            <w:tcBorders>
              <w:top w:val="single" w:color="000000" w:sz="8" w:space="0"/>
              <w:left w:val="nil"/>
              <w:bottom w:val="single" w:color="000000" w:sz="8" w:space="0"/>
              <w:right w:val="single" w:color="000000" w:sz="8" w:space="0"/>
            </w:tcBorders>
            <w:shd w:val="clear" w:color="auto" w:fill="auto"/>
            <w:vAlign w:val="center"/>
          </w:tcPr>
          <w:p w14:paraId="1DC0432A">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5000万以上直接经济损失。</w:t>
            </w:r>
          </w:p>
        </w:tc>
        <w:tc>
          <w:tcPr>
            <w:tcW w:w="1177" w:type="dxa"/>
            <w:tcBorders>
              <w:top w:val="single" w:color="000000" w:sz="8" w:space="0"/>
              <w:left w:val="nil"/>
              <w:bottom w:val="single" w:color="000000" w:sz="8" w:space="0"/>
              <w:right w:val="single" w:color="000000" w:sz="8" w:space="0"/>
            </w:tcBorders>
            <w:shd w:val="clear" w:color="auto" w:fill="auto"/>
            <w:vAlign w:val="center"/>
          </w:tcPr>
          <w:p w14:paraId="1A3692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公司停产</w:t>
            </w:r>
          </w:p>
        </w:tc>
        <w:tc>
          <w:tcPr>
            <w:tcW w:w="1654" w:type="dxa"/>
            <w:tcBorders>
              <w:top w:val="single" w:color="000000" w:sz="8" w:space="0"/>
              <w:left w:val="nil"/>
              <w:bottom w:val="single" w:color="000000" w:sz="8" w:space="0"/>
              <w:right w:val="single" w:color="000000" w:sz="8" w:space="0"/>
            </w:tcBorders>
            <w:shd w:val="clear" w:color="auto" w:fill="auto"/>
            <w:vAlign w:val="center"/>
          </w:tcPr>
          <w:p w14:paraId="2307FCE0">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重大国际、国内影响。</w:t>
            </w:r>
          </w:p>
        </w:tc>
      </w:tr>
      <w:tr w14:paraId="181396E1">
        <w:tblPrEx>
          <w:shd w:val="clear" w:color="auto" w:fill="auto"/>
          <w:tblCellMar>
            <w:top w:w="0" w:type="dxa"/>
            <w:left w:w="108" w:type="dxa"/>
            <w:bottom w:w="0" w:type="dxa"/>
            <w:right w:w="108" w:type="dxa"/>
          </w:tblCellMar>
        </w:tblPrEx>
        <w:trPr>
          <w:trHeight w:val="1080"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54C4833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40</w:t>
            </w:r>
          </w:p>
        </w:tc>
        <w:tc>
          <w:tcPr>
            <w:tcW w:w="2008" w:type="dxa"/>
            <w:tcBorders>
              <w:top w:val="nil"/>
              <w:left w:val="nil"/>
              <w:bottom w:val="single" w:color="000000" w:sz="8" w:space="0"/>
              <w:right w:val="single" w:color="000000" w:sz="8" w:space="0"/>
            </w:tcBorders>
            <w:shd w:val="clear" w:color="auto" w:fill="auto"/>
            <w:vAlign w:val="center"/>
          </w:tcPr>
          <w:p w14:paraId="283DF991">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违反法律法规和标准。</w:t>
            </w:r>
          </w:p>
        </w:tc>
        <w:tc>
          <w:tcPr>
            <w:tcW w:w="1730" w:type="dxa"/>
            <w:tcBorders>
              <w:top w:val="nil"/>
              <w:left w:val="nil"/>
              <w:bottom w:val="single" w:color="000000" w:sz="8" w:space="0"/>
              <w:right w:val="single" w:color="000000" w:sz="8" w:space="0"/>
            </w:tcBorders>
            <w:shd w:val="clear" w:color="auto" w:fill="auto"/>
            <w:vAlign w:val="center"/>
          </w:tcPr>
          <w:p w14:paraId="1845605A">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3人以上10人以下死亡，或10人以上50人以下重伤。</w:t>
            </w:r>
          </w:p>
        </w:tc>
        <w:tc>
          <w:tcPr>
            <w:tcW w:w="1858" w:type="dxa"/>
            <w:tcBorders>
              <w:top w:val="nil"/>
              <w:left w:val="nil"/>
              <w:bottom w:val="single" w:color="000000" w:sz="8" w:space="0"/>
              <w:right w:val="single" w:color="000000" w:sz="8" w:space="0"/>
            </w:tcBorders>
            <w:shd w:val="clear" w:color="auto" w:fill="auto"/>
            <w:vAlign w:val="center"/>
          </w:tcPr>
          <w:p w14:paraId="50201F10">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1000万以上5000万以下直接经济损失。</w:t>
            </w:r>
          </w:p>
        </w:tc>
        <w:tc>
          <w:tcPr>
            <w:tcW w:w="1177" w:type="dxa"/>
            <w:tcBorders>
              <w:top w:val="nil"/>
              <w:left w:val="nil"/>
              <w:bottom w:val="single" w:color="000000" w:sz="8" w:space="0"/>
              <w:right w:val="single" w:color="000000" w:sz="8" w:space="0"/>
            </w:tcBorders>
            <w:shd w:val="clear" w:color="auto" w:fill="auto"/>
            <w:vAlign w:val="center"/>
          </w:tcPr>
          <w:p w14:paraId="4C4E5F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装置停工</w:t>
            </w:r>
          </w:p>
        </w:tc>
        <w:tc>
          <w:tcPr>
            <w:tcW w:w="1654" w:type="dxa"/>
            <w:tcBorders>
              <w:top w:val="nil"/>
              <w:left w:val="nil"/>
              <w:bottom w:val="single" w:color="000000" w:sz="8" w:space="0"/>
              <w:right w:val="single" w:color="000000" w:sz="8" w:space="0"/>
            </w:tcBorders>
            <w:shd w:val="clear" w:color="auto" w:fill="auto"/>
            <w:vAlign w:val="center"/>
          </w:tcPr>
          <w:p w14:paraId="0329837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行业内、省内影响。</w:t>
            </w:r>
          </w:p>
        </w:tc>
      </w:tr>
      <w:tr w14:paraId="4AB7FFA0">
        <w:tblPrEx>
          <w:shd w:val="clear" w:color="auto" w:fill="auto"/>
          <w:tblCellMar>
            <w:top w:w="0" w:type="dxa"/>
            <w:left w:w="108" w:type="dxa"/>
            <w:bottom w:w="0" w:type="dxa"/>
            <w:right w:w="108" w:type="dxa"/>
          </w:tblCellMar>
        </w:tblPrEx>
        <w:trPr>
          <w:trHeight w:val="1275"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3B4530B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w:t>
            </w:r>
          </w:p>
        </w:tc>
        <w:tc>
          <w:tcPr>
            <w:tcW w:w="2008" w:type="dxa"/>
            <w:tcBorders>
              <w:top w:val="nil"/>
              <w:left w:val="nil"/>
              <w:bottom w:val="single" w:color="000000" w:sz="8" w:space="0"/>
              <w:right w:val="single" w:color="000000" w:sz="8" w:space="0"/>
            </w:tcBorders>
            <w:shd w:val="clear" w:color="auto" w:fill="auto"/>
            <w:vAlign w:val="center"/>
          </w:tcPr>
          <w:p w14:paraId="2E365697">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潜在违反法规和标准。</w:t>
            </w:r>
          </w:p>
        </w:tc>
        <w:tc>
          <w:tcPr>
            <w:tcW w:w="1730" w:type="dxa"/>
            <w:tcBorders>
              <w:top w:val="nil"/>
              <w:left w:val="nil"/>
              <w:bottom w:val="single" w:color="000000" w:sz="8" w:space="0"/>
              <w:right w:val="single" w:color="000000" w:sz="8" w:space="0"/>
            </w:tcBorders>
            <w:shd w:val="clear" w:color="auto" w:fill="auto"/>
            <w:vAlign w:val="center"/>
          </w:tcPr>
          <w:p w14:paraId="49E1CD5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3人以下死亡，或10人以下重伤。</w:t>
            </w:r>
          </w:p>
        </w:tc>
        <w:tc>
          <w:tcPr>
            <w:tcW w:w="1858" w:type="dxa"/>
            <w:tcBorders>
              <w:top w:val="nil"/>
              <w:left w:val="nil"/>
              <w:bottom w:val="single" w:color="000000" w:sz="8" w:space="0"/>
              <w:right w:val="single" w:color="000000" w:sz="8" w:space="0"/>
            </w:tcBorders>
            <w:shd w:val="clear" w:color="auto" w:fill="auto"/>
            <w:vAlign w:val="center"/>
          </w:tcPr>
          <w:p w14:paraId="4AC8BBC0">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100万以上1000万以下直接经济损失。</w:t>
            </w:r>
          </w:p>
        </w:tc>
        <w:tc>
          <w:tcPr>
            <w:tcW w:w="1177" w:type="dxa"/>
            <w:tcBorders>
              <w:top w:val="nil"/>
              <w:left w:val="nil"/>
              <w:bottom w:val="single" w:color="000000" w:sz="8" w:space="0"/>
              <w:right w:val="single" w:color="000000" w:sz="8" w:space="0"/>
            </w:tcBorders>
            <w:shd w:val="clear" w:color="auto" w:fill="auto"/>
            <w:vAlign w:val="center"/>
          </w:tcPr>
          <w:p w14:paraId="2561A2F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部分装置停工</w:t>
            </w:r>
          </w:p>
        </w:tc>
        <w:tc>
          <w:tcPr>
            <w:tcW w:w="1654" w:type="dxa"/>
            <w:tcBorders>
              <w:top w:val="nil"/>
              <w:left w:val="nil"/>
              <w:bottom w:val="single" w:color="000000" w:sz="8" w:space="0"/>
              <w:right w:val="single" w:color="000000" w:sz="8" w:space="0"/>
            </w:tcBorders>
            <w:shd w:val="clear" w:color="auto" w:fill="auto"/>
            <w:vAlign w:val="center"/>
          </w:tcPr>
          <w:p w14:paraId="279180C2">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地区影响。</w:t>
            </w:r>
          </w:p>
        </w:tc>
      </w:tr>
      <w:tr w14:paraId="132BB69A">
        <w:tblPrEx>
          <w:shd w:val="clear" w:color="auto" w:fill="auto"/>
          <w:tblCellMar>
            <w:top w:w="0" w:type="dxa"/>
            <w:left w:w="108" w:type="dxa"/>
            <w:bottom w:w="0" w:type="dxa"/>
            <w:right w:w="108" w:type="dxa"/>
          </w:tblCellMar>
        </w:tblPrEx>
        <w:trPr>
          <w:trHeight w:val="1060"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1FCC7F1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2008" w:type="dxa"/>
            <w:tcBorders>
              <w:top w:val="nil"/>
              <w:left w:val="nil"/>
              <w:bottom w:val="single" w:color="000000" w:sz="8" w:space="0"/>
              <w:right w:val="single" w:color="000000" w:sz="8" w:space="0"/>
            </w:tcBorders>
            <w:shd w:val="clear" w:color="auto" w:fill="auto"/>
            <w:vAlign w:val="center"/>
          </w:tcPr>
          <w:p w14:paraId="7BB207E3">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不符合上级或行业的安全方针、制度、规定等。</w:t>
            </w:r>
          </w:p>
        </w:tc>
        <w:tc>
          <w:tcPr>
            <w:tcW w:w="1730" w:type="dxa"/>
            <w:tcBorders>
              <w:top w:val="nil"/>
              <w:left w:val="nil"/>
              <w:bottom w:val="single" w:color="000000" w:sz="8" w:space="0"/>
              <w:right w:val="single" w:color="000000" w:sz="8" w:space="0"/>
            </w:tcBorders>
            <w:shd w:val="clear" w:color="auto" w:fill="auto"/>
            <w:vAlign w:val="center"/>
          </w:tcPr>
          <w:p w14:paraId="1DFE8E9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丧失劳动力、截肢、骨折、听力丧失、慢性病。</w:t>
            </w:r>
          </w:p>
        </w:tc>
        <w:tc>
          <w:tcPr>
            <w:tcW w:w="1858" w:type="dxa"/>
            <w:tcBorders>
              <w:top w:val="nil"/>
              <w:left w:val="nil"/>
              <w:bottom w:val="single" w:color="000000" w:sz="8" w:space="0"/>
              <w:right w:val="single" w:color="000000" w:sz="8" w:space="0"/>
            </w:tcBorders>
            <w:shd w:val="clear" w:color="auto" w:fill="auto"/>
            <w:vAlign w:val="center"/>
          </w:tcPr>
          <w:p w14:paraId="3DE1D63F">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10万以上100万以下直接经济损失。</w:t>
            </w:r>
          </w:p>
        </w:tc>
        <w:tc>
          <w:tcPr>
            <w:tcW w:w="1177" w:type="dxa"/>
            <w:tcBorders>
              <w:top w:val="nil"/>
              <w:left w:val="nil"/>
              <w:bottom w:val="single" w:color="000000" w:sz="8" w:space="0"/>
              <w:right w:val="single" w:color="000000" w:sz="8" w:space="0"/>
            </w:tcBorders>
            <w:shd w:val="clear" w:color="auto" w:fill="auto"/>
            <w:vAlign w:val="center"/>
          </w:tcPr>
          <w:p w14:paraId="44EC89F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部分设备停工</w:t>
            </w:r>
          </w:p>
        </w:tc>
        <w:tc>
          <w:tcPr>
            <w:tcW w:w="1654" w:type="dxa"/>
            <w:tcBorders>
              <w:top w:val="nil"/>
              <w:left w:val="nil"/>
              <w:bottom w:val="single" w:color="000000" w:sz="8" w:space="0"/>
              <w:right w:val="single" w:color="000000" w:sz="8" w:space="0"/>
            </w:tcBorders>
            <w:shd w:val="clear" w:color="auto" w:fill="auto"/>
            <w:vAlign w:val="center"/>
          </w:tcPr>
          <w:p w14:paraId="6983F010">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公司及周边范围。</w:t>
            </w:r>
          </w:p>
        </w:tc>
      </w:tr>
      <w:tr w14:paraId="05AF9D77">
        <w:tblPrEx>
          <w:shd w:val="clear" w:color="auto" w:fill="auto"/>
          <w:tblCellMar>
            <w:top w:w="0" w:type="dxa"/>
            <w:left w:w="108" w:type="dxa"/>
            <w:bottom w:w="0" w:type="dxa"/>
            <w:right w:w="108" w:type="dxa"/>
          </w:tblCellMar>
        </w:tblPrEx>
        <w:trPr>
          <w:trHeight w:val="740" w:hRule="atLeast"/>
          <w:jc w:val="center"/>
        </w:trPr>
        <w:tc>
          <w:tcPr>
            <w:tcW w:w="978" w:type="dxa"/>
            <w:tcBorders>
              <w:top w:val="nil"/>
              <w:left w:val="single" w:color="000000" w:sz="8" w:space="0"/>
              <w:bottom w:val="single" w:color="000000" w:sz="8" w:space="0"/>
              <w:right w:val="single" w:color="000000" w:sz="8" w:space="0"/>
            </w:tcBorders>
            <w:shd w:val="clear" w:color="auto" w:fill="auto"/>
            <w:vAlign w:val="center"/>
          </w:tcPr>
          <w:p w14:paraId="5E394AF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008" w:type="dxa"/>
            <w:tcBorders>
              <w:top w:val="nil"/>
              <w:left w:val="nil"/>
              <w:bottom w:val="single" w:color="000000" w:sz="8" w:space="0"/>
              <w:right w:val="single" w:color="000000" w:sz="8" w:space="0"/>
            </w:tcBorders>
            <w:shd w:val="clear" w:color="auto" w:fill="auto"/>
            <w:vAlign w:val="center"/>
          </w:tcPr>
          <w:p w14:paraId="772E8400">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不符合公司的安全操作程序、规定。</w:t>
            </w:r>
          </w:p>
        </w:tc>
        <w:tc>
          <w:tcPr>
            <w:tcW w:w="1730" w:type="dxa"/>
            <w:tcBorders>
              <w:top w:val="nil"/>
              <w:left w:val="nil"/>
              <w:bottom w:val="single" w:color="000000" w:sz="8" w:space="0"/>
              <w:right w:val="single" w:color="000000" w:sz="8" w:space="0"/>
            </w:tcBorders>
            <w:shd w:val="clear" w:color="auto" w:fill="auto"/>
            <w:vAlign w:val="center"/>
          </w:tcPr>
          <w:p w14:paraId="58974F03">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轻微受伤、间歇不舒服。</w:t>
            </w:r>
          </w:p>
        </w:tc>
        <w:tc>
          <w:tcPr>
            <w:tcW w:w="1858" w:type="dxa"/>
            <w:tcBorders>
              <w:top w:val="nil"/>
              <w:left w:val="nil"/>
              <w:bottom w:val="single" w:color="000000" w:sz="8" w:space="0"/>
              <w:right w:val="single" w:color="000000" w:sz="8" w:space="0"/>
            </w:tcBorders>
            <w:shd w:val="clear" w:color="auto" w:fill="auto"/>
            <w:vAlign w:val="center"/>
          </w:tcPr>
          <w:p w14:paraId="3557ED9F">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1万以上10万以下直接经济损失。</w:t>
            </w:r>
          </w:p>
        </w:tc>
        <w:tc>
          <w:tcPr>
            <w:tcW w:w="1177" w:type="dxa"/>
            <w:tcBorders>
              <w:top w:val="nil"/>
              <w:left w:val="nil"/>
              <w:bottom w:val="single" w:color="000000" w:sz="8" w:space="0"/>
              <w:right w:val="single" w:color="000000" w:sz="8" w:space="0"/>
            </w:tcBorders>
            <w:shd w:val="clear" w:color="auto" w:fill="auto"/>
            <w:vAlign w:val="center"/>
          </w:tcPr>
          <w:p w14:paraId="5D4EE87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Style w:val="160"/>
                <w:rFonts w:hAnsi="宋体"/>
                <w:lang w:bidi="ar"/>
              </w:rPr>
              <w:t>1套设备停工</w:t>
            </w:r>
          </w:p>
        </w:tc>
        <w:tc>
          <w:tcPr>
            <w:tcW w:w="1654" w:type="dxa"/>
            <w:tcBorders>
              <w:top w:val="nil"/>
              <w:left w:val="nil"/>
              <w:bottom w:val="single" w:color="000000" w:sz="8" w:space="0"/>
              <w:right w:val="single" w:color="000000" w:sz="8" w:space="0"/>
            </w:tcBorders>
            <w:shd w:val="clear" w:color="auto" w:fill="auto"/>
            <w:vAlign w:val="center"/>
          </w:tcPr>
          <w:p w14:paraId="012E1A76">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引人关注，不利于基本的安全卫生要求。</w:t>
            </w:r>
          </w:p>
        </w:tc>
      </w:tr>
      <w:tr w14:paraId="6C54438F">
        <w:tblPrEx>
          <w:shd w:val="clear" w:color="auto" w:fill="auto"/>
          <w:tblCellMar>
            <w:top w:w="0" w:type="dxa"/>
            <w:left w:w="108" w:type="dxa"/>
            <w:bottom w:w="0" w:type="dxa"/>
            <w:right w:w="108" w:type="dxa"/>
          </w:tblCellMar>
        </w:tblPrEx>
        <w:trPr>
          <w:trHeight w:val="855" w:hRule="atLeast"/>
          <w:jc w:val="center"/>
        </w:trPr>
        <w:tc>
          <w:tcPr>
            <w:tcW w:w="97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EC84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008" w:type="dxa"/>
            <w:tcBorders>
              <w:top w:val="single" w:color="000000" w:sz="8" w:space="0"/>
              <w:left w:val="nil"/>
              <w:bottom w:val="single" w:color="000000" w:sz="8" w:space="0"/>
              <w:right w:val="single" w:color="000000" w:sz="8" w:space="0"/>
            </w:tcBorders>
            <w:shd w:val="clear" w:color="auto" w:fill="auto"/>
            <w:vAlign w:val="center"/>
          </w:tcPr>
          <w:p w14:paraId="6C0A809C">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完全符合。</w:t>
            </w:r>
          </w:p>
        </w:tc>
        <w:tc>
          <w:tcPr>
            <w:tcW w:w="1730" w:type="dxa"/>
            <w:tcBorders>
              <w:top w:val="single" w:color="000000" w:sz="8" w:space="0"/>
              <w:left w:val="nil"/>
              <w:bottom w:val="single" w:color="000000" w:sz="8" w:space="0"/>
              <w:right w:val="single" w:color="000000" w:sz="8" w:space="0"/>
            </w:tcBorders>
            <w:shd w:val="clear" w:color="auto" w:fill="auto"/>
            <w:vAlign w:val="center"/>
          </w:tcPr>
          <w:p w14:paraId="2DF81C9A">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无伤亡。</w:t>
            </w:r>
          </w:p>
        </w:tc>
        <w:tc>
          <w:tcPr>
            <w:tcW w:w="1858" w:type="dxa"/>
            <w:tcBorders>
              <w:top w:val="single" w:color="000000" w:sz="8" w:space="0"/>
              <w:left w:val="nil"/>
              <w:bottom w:val="single" w:color="000000" w:sz="8" w:space="0"/>
              <w:right w:val="single" w:color="000000" w:sz="8" w:space="0"/>
            </w:tcBorders>
            <w:shd w:val="clear" w:color="auto" w:fill="auto"/>
            <w:vAlign w:val="center"/>
          </w:tcPr>
          <w:p w14:paraId="6958202D">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Style w:val="160"/>
                <w:rFonts w:hAnsi="宋体"/>
                <w:lang w:bidi="ar"/>
              </w:rPr>
              <w:t>1万以下直接经济损失。</w:t>
            </w:r>
          </w:p>
        </w:tc>
        <w:tc>
          <w:tcPr>
            <w:tcW w:w="1177" w:type="dxa"/>
            <w:tcBorders>
              <w:top w:val="single" w:color="000000" w:sz="8" w:space="0"/>
              <w:left w:val="nil"/>
              <w:bottom w:val="single" w:color="000000" w:sz="8" w:space="0"/>
              <w:right w:val="single" w:color="000000" w:sz="8" w:space="0"/>
            </w:tcBorders>
            <w:shd w:val="clear" w:color="auto" w:fill="auto"/>
            <w:vAlign w:val="center"/>
          </w:tcPr>
          <w:p w14:paraId="229EF1C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没有停工</w:t>
            </w:r>
          </w:p>
        </w:tc>
        <w:tc>
          <w:tcPr>
            <w:tcW w:w="1654" w:type="dxa"/>
            <w:tcBorders>
              <w:top w:val="single" w:color="000000" w:sz="8" w:space="0"/>
              <w:left w:val="nil"/>
              <w:bottom w:val="single" w:color="000000" w:sz="8" w:space="0"/>
              <w:right w:val="single" w:color="000000" w:sz="8" w:space="0"/>
            </w:tcBorders>
            <w:shd w:val="clear" w:color="auto" w:fill="auto"/>
            <w:vAlign w:val="center"/>
          </w:tcPr>
          <w:p w14:paraId="5C34C8AB">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形象没有受损。</w:t>
            </w:r>
          </w:p>
        </w:tc>
      </w:tr>
    </w:tbl>
    <w:p w14:paraId="15EB7949">
      <w:pPr>
        <w:pStyle w:val="95"/>
        <w:numPr>
          <w:ilvl w:val="0"/>
          <w:numId w:val="0"/>
        </w:numPr>
        <w:spacing w:before="156" w:after="156"/>
        <w:jc w:val="center"/>
        <w:rPr>
          <w:rFonts w:hint="eastAsia" w:ascii="宋体" w:hAnsi="宋体" w:eastAsia="宋体"/>
          <w:b/>
          <w:sz w:val="24"/>
          <w:szCs w:val="24"/>
        </w:rPr>
      </w:pPr>
      <w:r>
        <w:rPr>
          <w:rFonts w:hint="eastAsia" w:ascii="宋体" w:hAnsi="宋体" w:eastAsia="宋体"/>
          <w:b/>
          <w:sz w:val="24"/>
          <w:szCs w:val="24"/>
        </w:rPr>
        <w:t>表4</w:t>
      </w:r>
      <w:r>
        <w:rPr>
          <w:rFonts w:hint="eastAsia" w:ascii="宋体" w:hAnsi="宋体" w:eastAsia="宋体"/>
          <w:b/>
          <w:sz w:val="24"/>
          <w:szCs w:val="24"/>
          <w:lang w:val="en-US" w:eastAsia="zh-CN"/>
        </w:rPr>
        <w:t xml:space="preserve"> </w:t>
      </w:r>
      <w:r>
        <w:rPr>
          <w:rFonts w:hint="eastAsia" w:ascii="宋体" w:hAnsi="宋体" w:eastAsia="宋体"/>
          <w:b/>
          <w:sz w:val="24"/>
          <w:szCs w:val="24"/>
        </w:rPr>
        <w:t>风险等级判定准则（D）及控制措施</w:t>
      </w:r>
    </w:p>
    <w:tbl>
      <w:tblPr>
        <w:tblStyle w:val="39"/>
        <w:tblW w:w="8674" w:type="dxa"/>
        <w:jc w:val="center"/>
        <w:shd w:val="clear" w:color="auto" w:fill="auto"/>
        <w:tblLayout w:type="fixed"/>
        <w:tblCellMar>
          <w:top w:w="0" w:type="dxa"/>
          <w:left w:w="108" w:type="dxa"/>
          <w:bottom w:w="0" w:type="dxa"/>
          <w:right w:w="108" w:type="dxa"/>
        </w:tblCellMar>
      </w:tblPr>
      <w:tblGrid>
        <w:gridCol w:w="1875"/>
        <w:gridCol w:w="1875"/>
        <w:gridCol w:w="4924"/>
      </w:tblGrid>
      <w:tr w14:paraId="1D83E430">
        <w:tblPrEx>
          <w:tblCellMar>
            <w:top w:w="0" w:type="dxa"/>
            <w:left w:w="108" w:type="dxa"/>
            <w:bottom w:w="0" w:type="dxa"/>
            <w:right w:w="108" w:type="dxa"/>
          </w:tblCellMar>
        </w:tblPrEx>
        <w:trPr>
          <w:trHeight w:val="720" w:hRule="atLeast"/>
          <w:jc w:val="center"/>
        </w:trPr>
        <w:tc>
          <w:tcPr>
            <w:tcW w:w="1875" w:type="dxa"/>
            <w:tcBorders>
              <w:top w:val="single" w:color="auto" w:sz="4" w:space="0"/>
              <w:left w:val="single" w:color="auto" w:sz="4" w:space="0"/>
              <w:bottom w:val="single" w:color="000000" w:sz="8" w:space="0"/>
              <w:right w:val="single" w:color="000000" w:sz="8" w:space="0"/>
            </w:tcBorders>
            <w:shd w:val="clear" w:color="auto" w:fill="auto"/>
            <w:vAlign w:val="center"/>
          </w:tcPr>
          <w:p w14:paraId="661213EC">
            <w:pPr>
              <w:jc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风险值</w:t>
            </w:r>
          </w:p>
        </w:tc>
        <w:tc>
          <w:tcPr>
            <w:tcW w:w="1875" w:type="dxa"/>
            <w:tcBorders>
              <w:top w:val="single" w:color="auto" w:sz="4" w:space="0"/>
              <w:left w:val="nil"/>
              <w:bottom w:val="single" w:color="000000" w:sz="8" w:space="0"/>
              <w:right w:val="single" w:color="000000" w:sz="8" w:space="0"/>
            </w:tcBorders>
            <w:shd w:val="clear" w:color="auto" w:fill="auto"/>
            <w:vAlign w:val="center"/>
          </w:tcPr>
          <w:p w14:paraId="79612DC1">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1"/>
                <w:szCs w:val="21"/>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
              </w:rPr>
              <w:t>等级</w:t>
            </w:r>
          </w:p>
        </w:tc>
        <w:tc>
          <w:tcPr>
            <w:tcW w:w="4924" w:type="dxa"/>
            <w:tcBorders>
              <w:top w:val="single" w:color="auto" w:sz="4" w:space="0"/>
              <w:left w:val="nil"/>
              <w:bottom w:val="single" w:color="000000" w:sz="8" w:space="0"/>
              <w:right w:val="single" w:color="000000" w:sz="8" w:space="0"/>
            </w:tcBorders>
            <w:shd w:val="clear" w:color="auto" w:fill="auto"/>
            <w:vAlign w:val="center"/>
          </w:tcPr>
          <w:p w14:paraId="33F4467A">
            <w:pPr>
              <w:keepNext w:val="0"/>
              <w:keepLines w:val="0"/>
              <w:widowControl/>
              <w:suppressLineNumbers w:val="0"/>
              <w:jc w:val="center"/>
              <w:textAlignment w:val="center"/>
              <w:rPr>
                <w:rFonts w:hint="default" w:ascii="仿宋_GB2312" w:hAnsi="宋体" w:eastAsia="仿宋_GB2312" w:cs="仿宋_GB2312"/>
                <w:b/>
                <w:bCs/>
                <w:i w:val="0"/>
                <w:iCs w:val="0"/>
                <w:color w:val="000000"/>
                <w:kern w:val="2"/>
                <w:sz w:val="21"/>
                <w:szCs w:val="21"/>
                <w:u w:val="none"/>
                <w:lang w:val="en-US" w:eastAsia="zh-CN" w:bidi="ar-SA"/>
              </w:rPr>
            </w:pPr>
            <w:r>
              <w:rPr>
                <w:rFonts w:hint="default" w:ascii="仿宋_GB2312" w:hAnsi="宋体" w:eastAsia="仿宋_GB2312" w:cs="仿宋_GB2312"/>
                <w:b/>
                <w:bCs/>
                <w:i w:val="0"/>
                <w:iCs w:val="0"/>
                <w:color w:val="000000"/>
                <w:kern w:val="0"/>
                <w:sz w:val="21"/>
                <w:szCs w:val="21"/>
                <w:u w:val="none"/>
                <w:lang w:val="en-US" w:eastAsia="zh-CN" w:bidi="ar-SA"/>
              </w:rPr>
              <w:t>应采取的行动/控制措施</w:t>
            </w:r>
          </w:p>
        </w:tc>
      </w:tr>
      <w:tr w14:paraId="09AEED85">
        <w:tblPrEx>
          <w:tblCellMar>
            <w:top w:w="0" w:type="dxa"/>
            <w:left w:w="108" w:type="dxa"/>
            <w:bottom w:w="0" w:type="dxa"/>
            <w:right w:w="108" w:type="dxa"/>
          </w:tblCellMar>
        </w:tblPrEx>
        <w:trPr>
          <w:trHeight w:val="653" w:hRule="atLeast"/>
          <w:jc w:val="center"/>
        </w:trPr>
        <w:tc>
          <w:tcPr>
            <w:tcW w:w="1875" w:type="dxa"/>
            <w:tcBorders>
              <w:top w:val="nil"/>
              <w:left w:val="single" w:color="auto" w:sz="4" w:space="0"/>
              <w:bottom w:val="single" w:color="000000" w:sz="8" w:space="0"/>
              <w:right w:val="single" w:color="000000" w:sz="8" w:space="0"/>
            </w:tcBorders>
            <w:shd w:val="clear" w:color="auto" w:fill="FF0000"/>
            <w:vAlign w:val="center"/>
          </w:tcPr>
          <w:p w14:paraId="7124CE1C">
            <w:pPr>
              <w:jc w:val="center"/>
              <w:rPr>
                <w:rFonts w:hint="default" w:ascii="仿宋_GB2312" w:hAnsi="宋体" w:eastAsia="仿宋_GB2312" w:cs="仿宋_GB2312"/>
                <w:i w:val="0"/>
                <w:iCs w:val="0"/>
                <w:color w:val="000000"/>
                <w:sz w:val="24"/>
                <w:szCs w:val="24"/>
                <w:u w:val="none"/>
              </w:rPr>
            </w:pPr>
            <w:r>
              <w:rPr>
                <w:rFonts w:ascii="宋体" w:hAnsi="宋体" w:cs="仿宋_GB2312"/>
                <w:bCs/>
                <w:sz w:val="18"/>
                <w:szCs w:val="18"/>
              </w:rPr>
              <w:t>&gt;</w:t>
            </w:r>
            <w:r>
              <w:rPr>
                <w:rFonts w:ascii="宋体" w:hAnsi="宋体" w:cs="仿宋_GB2312"/>
                <w:bCs/>
                <w:spacing w:val="20"/>
                <w:sz w:val="18"/>
                <w:szCs w:val="18"/>
              </w:rPr>
              <w:t>320</w:t>
            </w:r>
          </w:p>
        </w:tc>
        <w:tc>
          <w:tcPr>
            <w:tcW w:w="1875" w:type="dxa"/>
            <w:tcBorders>
              <w:top w:val="nil"/>
              <w:left w:val="nil"/>
              <w:bottom w:val="single" w:color="000000" w:sz="8" w:space="0"/>
              <w:right w:val="single" w:color="000000" w:sz="8" w:space="0"/>
            </w:tcBorders>
            <w:shd w:val="clear" w:color="auto" w:fill="auto"/>
            <w:vAlign w:val="center"/>
          </w:tcPr>
          <w:p w14:paraId="43552F17">
            <w:pPr>
              <w:keepNext w:val="0"/>
              <w:keepLines w:val="0"/>
              <w:widowControl/>
              <w:suppressLineNumbers w:val="0"/>
              <w:jc w:val="center"/>
              <w:textAlignment w:val="center"/>
              <w:rPr>
                <w:rStyle w:val="160"/>
                <w:rFonts w:hint="default" w:ascii="仿宋_GB2312" w:hAnsi="宋体" w:eastAsia="仿宋_GB2312" w:cs="仿宋_GB2312"/>
                <w:i w:val="0"/>
                <w:iCs w:val="0"/>
                <w:color w:val="000000"/>
                <w:lang w:val="en-US" w:eastAsia="zh-CN" w:bidi="ar"/>
              </w:rPr>
            </w:pPr>
            <w:r>
              <w:rPr>
                <w:rStyle w:val="160"/>
                <w:rFonts w:hint="default" w:ascii="仿宋_GB2312" w:hAnsi="宋体" w:eastAsia="仿宋_GB2312" w:cs="仿宋_GB2312"/>
                <w:i w:val="0"/>
                <w:iCs w:val="0"/>
                <w:color w:val="000000"/>
                <w:lang w:val="en-US" w:eastAsia="zh-CN" w:bidi="ar"/>
              </w:rPr>
              <w:t>重大风险</w:t>
            </w:r>
          </w:p>
        </w:tc>
        <w:tc>
          <w:tcPr>
            <w:tcW w:w="4924" w:type="dxa"/>
            <w:tcBorders>
              <w:top w:val="nil"/>
              <w:left w:val="nil"/>
              <w:bottom w:val="single" w:color="000000" w:sz="8" w:space="0"/>
              <w:right w:val="single" w:color="000000" w:sz="8" w:space="0"/>
            </w:tcBorders>
            <w:shd w:val="clear" w:color="auto" w:fill="auto"/>
            <w:vAlign w:val="center"/>
          </w:tcPr>
          <w:p w14:paraId="1BB31C6F">
            <w:pPr>
              <w:keepNext w:val="0"/>
              <w:keepLines w:val="0"/>
              <w:widowControl/>
              <w:suppressLineNumbers w:val="0"/>
              <w:jc w:val="center"/>
              <w:textAlignment w:val="center"/>
              <w:rPr>
                <w:rStyle w:val="160"/>
                <w:rFonts w:hint="default" w:ascii="仿宋_GB2312" w:hAnsi="宋体" w:eastAsia="仿宋_GB2312" w:cs="仿宋_GB2312"/>
                <w:i w:val="0"/>
                <w:iCs w:val="0"/>
                <w:color w:val="000000"/>
                <w:lang w:val="en-US" w:eastAsia="zh-CN" w:bidi="ar"/>
              </w:rPr>
            </w:pPr>
            <w:r>
              <w:rPr>
                <w:rStyle w:val="160"/>
                <w:rFonts w:hint="default" w:ascii="仿宋_GB2312" w:hAnsi="宋体" w:eastAsia="仿宋_GB2312" w:cs="仿宋_GB2312"/>
                <w:i w:val="0"/>
                <w:iCs w:val="0"/>
                <w:color w:val="000000"/>
                <w:lang w:val="en-US" w:eastAsia="zh-CN" w:bidi="ar"/>
              </w:rPr>
              <w:t>立即补充管控措施，以期降低风险级别，定期检查、测量和评估。</w:t>
            </w:r>
          </w:p>
        </w:tc>
      </w:tr>
      <w:tr w14:paraId="40B3BA13">
        <w:tblPrEx>
          <w:tblCellMar>
            <w:top w:w="0" w:type="dxa"/>
            <w:left w:w="108" w:type="dxa"/>
            <w:bottom w:w="0" w:type="dxa"/>
            <w:right w:w="108" w:type="dxa"/>
          </w:tblCellMar>
        </w:tblPrEx>
        <w:trPr>
          <w:trHeight w:val="662" w:hRule="atLeast"/>
          <w:jc w:val="center"/>
        </w:trPr>
        <w:tc>
          <w:tcPr>
            <w:tcW w:w="1875" w:type="dxa"/>
            <w:tcBorders>
              <w:top w:val="nil"/>
              <w:left w:val="single" w:color="auto" w:sz="4" w:space="0"/>
              <w:bottom w:val="single" w:color="000000" w:sz="8" w:space="0"/>
              <w:right w:val="single" w:color="000000" w:sz="8" w:space="0"/>
            </w:tcBorders>
            <w:shd w:val="clear" w:color="auto" w:fill="FFC000"/>
            <w:vAlign w:val="center"/>
          </w:tcPr>
          <w:p w14:paraId="247F9997">
            <w:pPr>
              <w:jc w:val="center"/>
              <w:rPr>
                <w:rFonts w:hint="default" w:ascii="仿宋_GB2312" w:hAnsi="宋体" w:eastAsia="仿宋_GB2312" w:cs="仿宋_GB2312"/>
                <w:i w:val="0"/>
                <w:iCs w:val="0"/>
                <w:color w:val="000000"/>
                <w:sz w:val="24"/>
                <w:szCs w:val="24"/>
                <w:u w:val="none"/>
              </w:rPr>
            </w:pPr>
            <w:r>
              <w:rPr>
                <w:rFonts w:ascii="宋体" w:hAnsi="宋体" w:cs="仿宋_GB2312"/>
                <w:bCs/>
                <w:sz w:val="18"/>
                <w:szCs w:val="18"/>
              </w:rPr>
              <w:t>160</w:t>
            </w:r>
            <w:r>
              <w:rPr>
                <w:rFonts w:hint="eastAsia" w:ascii="宋体" w:hAnsi="宋体" w:cs="仿宋_GB2312"/>
                <w:bCs/>
                <w:sz w:val="18"/>
                <w:szCs w:val="18"/>
              </w:rPr>
              <w:t>～</w:t>
            </w:r>
            <w:r>
              <w:rPr>
                <w:rFonts w:ascii="宋体" w:hAnsi="宋体" w:cs="仿宋_GB2312"/>
                <w:bCs/>
                <w:sz w:val="18"/>
                <w:szCs w:val="18"/>
              </w:rPr>
              <w:t>320</w:t>
            </w:r>
          </w:p>
        </w:tc>
        <w:tc>
          <w:tcPr>
            <w:tcW w:w="1875" w:type="dxa"/>
            <w:tcBorders>
              <w:top w:val="nil"/>
              <w:left w:val="nil"/>
              <w:bottom w:val="single" w:color="000000" w:sz="8" w:space="0"/>
              <w:right w:val="single" w:color="000000" w:sz="8" w:space="0"/>
            </w:tcBorders>
            <w:shd w:val="clear" w:color="auto" w:fill="auto"/>
            <w:vAlign w:val="center"/>
          </w:tcPr>
          <w:p w14:paraId="023A62A3">
            <w:pPr>
              <w:keepNext w:val="0"/>
              <w:keepLines w:val="0"/>
              <w:widowControl/>
              <w:suppressLineNumbers w:val="0"/>
              <w:jc w:val="center"/>
              <w:textAlignment w:val="center"/>
              <w:rPr>
                <w:rStyle w:val="160"/>
                <w:rFonts w:hint="default" w:ascii="仿宋_GB2312" w:hAnsi="宋体" w:eastAsia="仿宋_GB2312" w:cs="仿宋_GB2312"/>
                <w:i w:val="0"/>
                <w:iCs w:val="0"/>
                <w:color w:val="000000"/>
                <w:lang w:val="en-US" w:eastAsia="zh-CN" w:bidi="ar"/>
              </w:rPr>
            </w:pPr>
            <w:r>
              <w:rPr>
                <w:rStyle w:val="160"/>
                <w:rFonts w:hint="default" w:ascii="仿宋_GB2312" w:hAnsi="宋体" w:eastAsia="仿宋_GB2312" w:cs="仿宋_GB2312"/>
                <w:i w:val="0"/>
                <w:iCs w:val="0"/>
                <w:color w:val="000000"/>
                <w:lang w:val="en-US" w:eastAsia="zh-CN" w:bidi="ar"/>
              </w:rPr>
              <w:t>较大风险</w:t>
            </w:r>
          </w:p>
        </w:tc>
        <w:tc>
          <w:tcPr>
            <w:tcW w:w="4924" w:type="dxa"/>
            <w:tcBorders>
              <w:top w:val="nil"/>
              <w:left w:val="nil"/>
              <w:bottom w:val="single" w:color="000000" w:sz="8" w:space="0"/>
              <w:right w:val="single" w:color="000000" w:sz="8" w:space="0"/>
            </w:tcBorders>
            <w:shd w:val="clear" w:color="auto" w:fill="auto"/>
            <w:vAlign w:val="center"/>
          </w:tcPr>
          <w:p w14:paraId="2D475FA4">
            <w:pPr>
              <w:keepNext w:val="0"/>
              <w:keepLines w:val="0"/>
              <w:widowControl/>
              <w:suppressLineNumbers w:val="0"/>
              <w:jc w:val="center"/>
              <w:textAlignment w:val="center"/>
              <w:rPr>
                <w:rStyle w:val="160"/>
                <w:rFonts w:hint="default" w:ascii="仿宋_GB2312" w:hAnsi="宋体" w:eastAsia="仿宋_GB2312" w:cs="仿宋_GB2312"/>
                <w:i w:val="0"/>
                <w:iCs w:val="0"/>
                <w:color w:val="000000"/>
                <w:lang w:val="en-US" w:eastAsia="zh-CN" w:bidi="ar"/>
              </w:rPr>
            </w:pPr>
            <w:r>
              <w:rPr>
                <w:rStyle w:val="160"/>
                <w:rFonts w:hint="default" w:ascii="仿宋_GB2312" w:hAnsi="宋体" w:eastAsia="仿宋_GB2312" w:cs="仿宋_GB2312"/>
                <w:i w:val="0"/>
                <w:iCs w:val="0"/>
                <w:color w:val="000000"/>
                <w:lang w:val="en-US" w:eastAsia="zh-CN" w:bidi="ar"/>
              </w:rPr>
              <w:t>立即或近期补充管控措施，定期检查、测量和评估。</w:t>
            </w:r>
          </w:p>
        </w:tc>
      </w:tr>
      <w:tr w14:paraId="658AB2C2">
        <w:tblPrEx>
          <w:tblCellMar>
            <w:top w:w="0" w:type="dxa"/>
            <w:left w:w="108" w:type="dxa"/>
            <w:bottom w:w="0" w:type="dxa"/>
            <w:right w:w="108" w:type="dxa"/>
          </w:tblCellMar>
        </w:tblPrEx>
        <w:trPr>
          <w:trHeight w:val="538" w:hRule="atLeast"/>
          <w:jc w:val="center"/>
        </w:trPr>
        <w:tc>
          <w:tcPr>
            <w:tcW w:w="1875" w:type="dxa"/>
            <w:tcBorders>
              <w:top w:val="nil"/>
              <w:left w:val="single" w:color="auto" w:sz="4" w:space="0"/>
              <w:bottom w:val="single" w:color="000000" w:sz="8" w:space="0"/>
              <w:right w:val="single" w:color="000000" w:sz="8" w:space="0"/>
            </w:tcBorders>
            <w:shd w:val="clear" w:color="auto" w:fill="FFFF00"/>
            <w:vAlign w:val="center"/>
          </w:tcPr>
          <w:p w14:paraId="5F180900">
            <w:pPr>
              <w:jc w:val="center"/>
              <w:rPr>
                <w:rFonts w:hint="default" w:ascii="仿宋_GB2312" w:hAnsi="宋体" w:eastAsia="仿宋_GB2312" w:cs="仿宋_GB2312"/>
                <w:i w:val="0"/>
                <w:iCs w:val="0"/>
                <w:color w:val="000000"/>
                <w:sz w:val="24"/>
                <w:szCs w:val="24"/>
                <w:u w:val="none"/>
              </w:rPr>
            </w:pPr>
            <w:r>
              <w:rPr>
                <w:rFonts w:ascii="宋体" w:hAnsi="宋体" w:cs="仿宋_GB2312"/>
                <w:sz w:val="18"/>
                <w:szCs w:val="18"/>
              </w:rPr>
              <w:t>70</w:t>
            </w:r>
            <w:r>
              <w:rPr>
                <w:rFonts w:hint="eastAsia" w:ascii="宋体" w:hAnsi="宋体" w:cs="仿宋_GB2312"/>
                <w:sz w:val="18"/>
                <w:szCs w:val="18"/>
              </w:rPr>
              <w:t>～</w:t>
            </w:r>
            <w:r>
              <w:rPr>
                <w:rFonts w:ascii="宋体" w:hAnsi="宋体" w:cs="仿宋_GB2312"/>
                <w:sz w:val="18"/>
                <w:szCs w:val="18"/>
              </w:rPr>
              <w:t>160</w:t>
            </w:r>
          </w:p>
        </w:tc>
        <w:tc>
          <w:tcPr>
            <w:tcW w:w="1875" w:type="dxa"/>
            <w:tcBorders>
              <w:top w:val="nil"/>
              <w:left w:val="nil"/>
              <w:bottom w:val="single" w:color="000000" w:sz="8" w:space="0"/>
              <w:right w:val="single" w:color="000000" w:sz="8" w:space="0"/>
            </w:tcBorders>
            <w:shd w:val="clear" w:color="auto" w:fill="auto"/>
            <w:vAlign w:val="center"/>
          </w:tcPr>
          <w:p w14:paraId="454EA6D2">
            <w:pPr>
              <w:keepNext w:val="0"/>
              <w:keepLines w:val="0"/>
              <w:widowControl/>
              <w:suppressLineNumbers w:val="0"/>
              <w:jc w:val="center"/>
              <w:textAlignment w:val="center"/>
              <w:rPr>
                <w:rStyle w:val="160"/>
                <w:rFonts w:hint="default" w:ascii="仿宋_GB2312" w:hAnsi="宋体" w:eastAsia="仿宋_GB2312" w:cs="仿宋_GB2312"/>
                <w:i w:val="0"/>
                <w:iCs w:val="0"/>
                <w:color w:val="000000"/>
                <w:lang w:val="en-US" w:eastAsia="zh-CN" w:bidi="ar"/>
              </w:rPr>
            </w:pPr>
            <w:r>
              <w:rPr>
                <w:rStyle w:val="160"/>
                <w:rFonts w:hint="default" w:ascii="仿宋_GB2312" w:hAnsi="宋体" w:eastAsia="仿宋_GB2312" w:cs="仿宋_GB2312"/>
                <w:i w:val="0"/>
                <w:iCs w:val="0"/>
                <w:color w:val="000000"/>
                <w:lang w:val="en-US" w:eastAsia="zh-CN" w:bidi="ar"/>
              </w:rPr>
              <w:t>一般风险</w:t>
            </w:r>
          </w:p>
        </w:tc>
        <w:tc>
          <w:tcPr>
            <w:tcW w:w="4924" w:type="dxa"/>
            <w:tcBorders>
              <w:top w:val="nil"/>
              <w:left w:val="nil"/>
              <w:bottom w:val="single" w:color="000000" w:sz="8" w:space="0"/>
              <w:right w:val="single" w:color="000000" w:sz="8" w:space="0"/>
            </w:tcBorders>
            <w:shd w:val="clear" w:color="auto" w:fill="auto"/>
            <w:vAlign w:val="center"/>
          </w:tcPr>
          <w:p w14:paraId="268BA03A">
            <w:pPr>
              <w:keepNext w:val="0"/>
              <w:keepLines w:val="0"/>
              <w:widowControl/>
              <w:suppressLineNumbers w:val="0"/>
              <w:jc w:val="center"/>
              <w:textAlignment w:val="center"/>
              <w:rPr>
                <w:rStyle w:val="160"/>
                <w:rFonts w:hint="default" w:ascii="仿宋_GB2312" w:hAnsi="宋体" w:eastAsia="仿宋_GB2312" w:cs="仿宋_GB2312"/>
                <w:i w:val="0"/>
                <w:iCs w:val="0"/>
                <w:color w:val="000000"/>
                <w:lang w:val="en-US" w:eastAsia="zh-CN" w:bidi="ar"/>
              </w:rPr>
            </w:pPr>
            <w:r>
              <w:rPr>
                <w:rStyle w:val="160"/>
                <w:rFonts w:hint="default" w:ascii="仿宋_GB2312" w:hAnsi="宋体" w:eastAsia="仿宋_GB2312" w:cs="仿宋_GB2312"/>
                <w:i w:val="0"/>
                <w:iCs w:val="0"/>
                <w:color w:val="000000"/>
                <w:lang w:val="en-US" w:eastAsia="zh-CN" w:bidi="ar"/>
              </w:rPr>
              <w:t>建立目标、建立操作规程，加强培训及沟通</w:t>
            </w:r>
          </w:p>
        </w:tc>
      </w:tr>
      <w:tr w14:paraId="668B3B83">
        <w:tblPrEx>
          <w:tblCellMar>
            <w:top w:w="0" w:type="dxa"/>
            <w:left w:w="108" w:type="dxa"/>
            <w:bottom w:w="0" w:type="dxa"/>
            <w:right w:w="108" w:type="dxa"/>
          </w:tblCellMar>
        </w:tblPrEx>
        <w:trPr>
          <w:trHeight w:val="500" w:hRule="atLeast"/>
          <w:jc w:val="center"/>
        </w:trPr>
        <w:tc>
          <w:tcPr>
            <w:tcW w:w="1875" w:type="dxa"/>
            <w:tcBorders>
              <w:top w:val="nil"/>
              <w:left w:val="single" w:color="auto" w:sz="4" w:space="0"/>
              <w:bottom w:val="single" w:color="auto" w:sz="4" w:space="0"/>
              <w:right w:val="single" w:color="000000" w:sz="8" w:space="0"/>
            </w:tcBorders>
            <w:shd w:val="clear" w:color="auto" w:fill="00B0F0"/>
            <w:vAlign w:val="center"/>
          </w:tcPr>
          <w:p w14:paraId="6E52AEBE">
            <w:pPr>
              <w:jc w:val="center"/>
              <w:rPr>
                <w:rFonts w:hint="default" w:ascii="仿宋_GB2312" w:hAnsi="宋体" w:eastAsia="仿宋_GB2312" w:cs="仿宋_GB2312"/>
                <w:i w:val="0"/>
                <w:iCs w:val="0"/>
                <w:color w:val="000000"/>
                <w:sz w:val="24"/>
                <w:szCs w:val="24"/>
                <w:u w:val="none"/>
              </w:rPr>
            </w:pPr>
            <w:r>
              <w:rPr>
                <w:rFonts w:ascii="宋体" w:hAnsi="宋体" w:cs="仿宋_GB2312"/>
                <w:sz w:val="18"/>
                <w:szCs w:val="18"/>
              </w:rPr>
              <w:t>70＜</w:t>
            </w:r>
          </w:p>
        </w:tc>
        <w:tc>
          <w:tcPr>
            <w:tcW w:w="1875" w:type="dxa"/>
            <w:tcBorders>
              <w:top w:val="nil"/>
              <w:left w:val="nil"/>
              <w:bottom w:val="single" w:color="auto" w:sz="4" w:space="0"/>
              <w:right w:val="single" w:color="000000" w:sz="8" w:space="0"/>
            </w:tcBorders>
            <w:shd w:val="clear" w:color="auto" w:fill="auto"/>
            <w:vAlign w:val="center"/>
          </w:tcPr>
          <w:p w14:paraId="50B9033E">
            <w:pPr>
              <w:keepNext w:val="0"/>
              <w:keepLines w:val="0"/>
              <w:widowControl/>
              <w:suppressLineNumbers w:val="0"/>
              <w:jc w:val="center"/>
              <w:textAlignment w:val="center"/>
              <w:rPr>
                <w:rStyle w:val="160"/>
                <w:rFonts w:hint="default" w:ascii="仿宋_GB2312" w:hAnsi="宋体" w:eastAsia="仿宋_GB2312" w:cs="仿宋_GB2312"/>
                <w:i w:val="0"/>
                <w:iCs w:val="0"/>
                <w:color w:val="000000"/>
                <w:lang w:val="en-US" w:eastAsia="zh-CN" w:bidi="ar"/>
              </w:rPr>
            </w:pPr>
            <w:r>
              <w:rPr>
                <w:rStyle w:val="160"/>
                <w:rFonts w:hint="default" w:ascii="仿宋_GB2312" w:hAnsi="宋体" w:eastAsia="仿宋_GB2312" w:cs="仿宋_GB2312"/>
                <w:i w:val="0"/>
                <w:iCs w:val="0"/>
                <w:color w:val="000000"/>
                <w:lang w:val="en-US" w:eastAsia="zh-CN" w:bidi="ar"/>
              </w:rPr>
              <w:t>低风险</w:t>
            </w:r>
          </w:p>
        </w:tc>
        <w:tc>
          <w:tcPr>
            <w:tcW w:w="4924" w:type="dxa"/>
            <w:tcBorders>
              <w:top w:val="nil"/>
              <w:left w:val="nil"/>
              <w:bottom w:val="single" w:color="auto" w:sz="4" w:space="0"/>
              <w:right w:val="single" w:color="000000" w:sz="8" w:space="0"/>
            </w:tcBorders>
            <w:shd w:val="clear" w:color="auto" w:fill="auto"/>
            <w:vAlign w:val="center"/>
          </w:tcPr>
          <w:p w14:paraId="04772969">
            <w:pPr>
              <w:keepNext w:val="0"/>
              <w:keepLines w:val="0"/>
              <w:widowControl/>
              <w:suppressLineNumbers w:val="0"/>
              <w:jc w:val="center"/>
              <w:textAlignment w:val="center"/>
              <w:rPr>
                <w:rStyle w:val="160"/>
                <w:rFonts w:hint="default" w:ascii="仿宋_GB2312" w:hAnsi="宋体" w:eastAsia="仿宋_GB2312" w:cs="仿宋_GB2312"/>
                <w:i w:val="0"/>
                <w:iCs w:val="0"/>
                <w:color w:val="000000"/>
                <w:lang w:val="en-US" w:eastAsia="zh-CN" w:bidi="ar"/>
              </w:rPr>
            </w:pPr>
            <w:r>
              <w:rPr>
                <w:rStyle w:val="160"/>
                <w:rFonts w:hint="default" w:ascii="仿宋_GB2312" w:hAnsi="宋体" w:eastAsia="仿宋_GB2312" w:cs="仿宋_GB2312"/>
                <w:i w:val="0"/>
                <w:iCs w:val="0"/>
                <w:color w:val="000000"/>
                <w:lang w:val="en-US" w:eastAsia="zh-CN" w:bidi="ar"/>
              </w:rPr>
              <w:t>完善管控措施</w:t>
            </w:r>
          </w:p>
        </w:tc>
      </w:tr>
    </w:tbl>
    <w:p w14:paraId="19DCBE51">
      <w:pPr>
        <w:pStyle w:val="29"/>
        <w:spacing w:beforeLines="50" w:afterLines="50"/>
        <w:ind w:left="0" w:leftChars="0" w:firstLine="0" w:firstLineChars="0"/>
        <w:rPr>
          <w:rFonts w:hint="eastAsia"/>
        </w:rPr>
      </w:pPr>
    </w:p>
    <w:p w14:paraId="5223275C">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65" w:name="_Toc468959287"/>
      <w:bookmarkStart w:id="66" w:name="_Toc468956171"/>
      <w:bookmarkStart w:id="67" w:name="_Toc468797563"/>
      <w:bookmarkStart w:id="68" w:name="_Toc475021513"/>
      <w:bookmarkStart w:id="69" w:name="_Toc470188645"/>
      <w:bookmarkStart w:id="70" w:name="_Toc466060655"/>
      <w:r>
        <w:rPr>
          <w:rFonts w:hint="eastAsia"/>
          <w:sz w:val="24"/>
          <w:szCs w:val="24"/>
          <w:lang w:val="en-US" w:eastAsia="zh-CN"/>
        </w:rPr>
        <w:t>3.3.2 风险评价准则</w:t>
      </w:r>
      <w:bookmarkEnd w:id="65"/>
      <w:bookmarkEnd w:id="66"/>
      <w:bookmarkEnd w:id="67"/>
      <w:bookmarkEnd w:id="68"/>
      <w:bookmarkEnd w:id="69"/>
    </w:p>
    <w:p w14:paraId="1C368929">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风险等级判定应遵循从严从高的原则，制定风险判定准则时应考虑以下因素：</w:t>
      </w:r>
    </w:p>
    <w:p w14:paraId="2AD87B9F">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（1）有关安全生产法律、法规；</w:t>
      </w:r>
    </w:p>
    <w:p w14:paraId="4B34A5A2">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（2）设计规范、技术标准的强制性条款；</w:t>
      </w:r>
    </w:p>
    <w:p w14:paraId="239B43D7">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（3）企业自身的安全管理、技术标准及对风险的承受能力；</w:t>
      </w:r>
    </w:p>
    <w:p w14:paraId="0B75E4AF">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（4）本单位的安全生产方针和目标等；</w:t>
      </w:r>
    </w:p>
    <w:p w14:paraId="70F3F95A">
      <w:pPr>
        <w:pStyle w:val="29"/>
        <w:keepNext w:val="0"/>
        <w:keepLines w:val="0"/>
        <w:pageBreakBefore w:val="0"/>
        <w:widowControl/>
        <w:kinsoku/>
        <w:wordWrap/>
        <w:overflowPunct/>
        <w:topLinePunct w:val="0"/>
        <w:autoSpaceDE w:val="0"/>
        <w:autoSpaceDN w:val="0"/>
        <w:bidi w:val="0"/>
        <w:adjustRightInd/>
        <w:snapToGrid/>
        <w:textAlignment w:val="auto"/>
        <w:rPr>
          <w:sz w:val="22"/>
          <w:szCs w:val="22"/>
        </w:rPr>
      </w:pPr>
      <w:r>
        <w:rPr>
          <w:rFonts w:hint="eastAsia"/>
          <w:sz w:val="22"/>
          <w:szCs w:val="22"/>
        </w:rPr>
        <w:t>（5）相关方的诉求等。</w:t>
      </w:r>
    </w:p>
    <w:p w14:paraId="23CBE4F9">
      <w:pPr>
        <w:pStyle w:val="29"/>
        <w:keepNext w:val="0"/>
        <w:keepLines w:val="0"/>
        <w:pageBreakBefore w:val="0"/>
        <w:widowControl/>
        <w:kinsoku/>
        <w:wordWrap/>
        <w:overflowPunct/>
        <w:topLinePunct w:val="0"/>
        <w:autoSpaceDE w:val="0"/>
        <w:autoSpaceDN w:val="0"/>
        <w:bidi w:val="0"/>
        <w:adjustRightInd/>
        <w:snapToGrid/>
        <w:ind w:left="0" w:leftChars="0" w:firstLine="440" w:firstLineChars="200"/>
        <w:textAlignment w:val="auto"/>
        <w:rPr>
          <w:rFonts w:hint="eastAsia"/>
          <w:sz w:val="22"/>
          <w:szCs w:val="22"/>
        </w:rPr>
      </w:pPr>
      <w:r>
        <w:rPr>
          <w:rFonts w:hint="eastAsia"/>
          <w:sz w:val="22"/>
          <w:szCs w:val="22"/>
        </w:rPr>
        <w:t>在对风险进行评价分级时，应该考虑人、财、物和环境等方面存在的可能性和后果的严重程度以及日常生产过程中暴露在危险环境中的频次，并结合自身实际和方法给出等级判定准则，明确事故（事件）发生的可能性、严重性、频次和风险度取值标准，确定风险判定准则，进行风险分析评估，判定风险等级。</w:t>
      </w:r>
    </w:p>
    <w:p w14:paraId="644268C6">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r>
        <w:rPr>
          <w:rFonts w:hint="eastAsia"/>
          <w:sz w:val="24"/>
          <w:szCs w:val="24"/>
          <w:lang w:val="en-US" w:eastAsia="zh-CN"/>
        </w:rPr>
        <w:t>3.3.3 风险评价与分级</w:t>
      </w:r>
    </w:p>
    <w:p w14:paraId="54E07FB9">
      <w:pPr>
        <w:pStyle w:val="29"/>
        <w:keepNext w:val="0"/>
        <w:keepLines w:val="0"/>
        <w:pageBreakBefore w:val="0"/>
        <w:widowControl/>
        <w:kinsoku/>
        <w:wordWrap/>
        <w:overflowPunct/>
        <w:topLinePunct w:val="0"/>
        <w:autoSpaceDE w:val="0"/>
        <w:autoSpaceDN w:val="0"/>
        <w:bidi w:val="0"/>
        <w:adjustRightInd/>
        <w:snapToGrid/>
        <w:ind w:left="0" w:leftChars="0" w:firstLine="440" w:firstLineChars="200"/>
        <w:textAlignment w:val="auto"/>
        <w:rPr>
          <w:rFonts w:hint="eastAsia" w:eastAsia="宋体"/>
          <w:sz w:val="22"/>
          <w:szCs w:val="22"/>
          <w:lang w:eastAsia="zh-CN"/>
        </w:rPr>
      </w:pPr>
      <w:r>
        <w:rPr>
          <w:rFonts w:hint="eastAsia"/>
          <w:sz w:val="22"/>
          <w:szCs w:val="22"/>
          <w:lang w:val="en-US" w:eastAsia="zh-CN"/>
        </w:rPr>
        <w:t>1</w:t>
      </w:r>
      <w:r>
        <w:rPr>
          <w:rFonts w:hint="eastAsia"/>
          <w:sz w:val="22"/>
          <w:szCs w:val="22"/>
          <w:lang w:eastAsia="zh-CN"/>
        </w:rPr>
        <w:t>）风险分级</w:t>
      </w:r>
    </w:p>
    <w:p w14:paraId="78C462E0">
      <w:pPr>
        <w:pStyle w:val="29"/>
        <w:keepNext w:val="0"/>
        <w:keepLines w:val="0"/>
        <w:pageBreakBefore w:val="0"/>
        <w:widowControl/>
        <w:kinsoku/>
        <w:wordWrap/>
        <w:overflowPunct/>
        <w:topLinePunct w:val="0"/>
        <w:autoSpaceDE w:val="0"/>
        <w:autoSpaceDN w:val="0"/>
        <w:bidi w:val="0"/>
        <w:adjustRightInd/>
        <w:snapToGrid/>
        <w:ind w:left="0" w:leftChars="0" w:firstLine="440" w:firstLineChars="200"/>
        <w:textAlignment w:val="auto"/>
        <w:rPr>
          <w:rFonts w:hint="eastAsia"/>
          <w:sz w:val="22"/>
          <w:szCs w:val="22"/>
        </w:rPr>
      </w:pPr>
      <w:r>
        <w:rPr>
          <w:rFonts w:hint="eastAsia"/>
          <w:sz w:val="22"/>
          <w:szCs w:val="22"/>
        </w:rPr>
        <w:t>企业根据作业条件危险性分析法（LEC）与风险判定准则进行风险评价，判定风险等级。风险等级判定应遵循从严从高的原则，将各评价级别划分为重大风险、较大风险、一般风险和低风险四级风险级别，分别用“红橙黄蓝”四种颜色表示。</w:t>
      </w:r>
    </w:p>
    <w:p w14:paraId="4CEC3C61">
      <w:pPr>
        <w:pStyle w:val="29"/>
        <w:keepNext w:val="0"/>
        <w:keepLines w:val="0"/>
        <w:pageBreakBefore w:val="0"/>
        <w:widowControl/>
        <w:kinsoku/>
        <w:wordWrap/>
        <w:overflowPunct/>
        <w:topLinePunct w:val="0"/>
        <w:autoSpaceDE w:val="0"/>
        <w:autoSpaceDN w:val="0"/>
        <w:bidi w:val="0"/>
        <w:adjustRightInd/>
        <w:snapToGrid/>
        <w:textAlignment w:val="auto"/>
        <w:rPr>
          <w:rFonts w:hint="eastAsia"/>
          <w:sz w:val="22"/>
          <w:szCs w:val="22"/>
        </w:rPr>
      </w:pPr>
      <w:r>
        <w:rPr>
          <w:rFonts w:hint="eastAsia"/>
          <w:sz w:val="22"/>
          <w:szCs w:val="22"/>
          <w:lang w:eastAsia="zh-CN"/>
        </w:rPr>
        <w:t>低安全风险</w:t>
      </w:r>
      <w:r>
        <w:rPr>
          <w:rFonts w:hint="eastAsia"/>
          <w:sz w:val="22"/>
          <w:szCs w:val="22"/>
        </w:rPr>
        <w:t>：</w:t>
      </w:r>
      <w:r>
        <w:rPr>
          <w:rFonts w:hint="eastAsia"/>
          <w:sz w:val="22"/>
          <w:szCs w:val="22"/>
          <w:lang w:eastAsia="zh-CN"/>
        </w:rPr>
        <w:t>蓝色</w:t>
      </w:r>
      <w:r>
        <w:rPr>
          <w:rFonts w:hint="eastAsia"/>
          <w:sz w:val="22"/>
          <w:szCs w:val="22"/>
        </w:rPr>
        <w:t>，由班组和岗位进行管控。</w:t>
      </w:r>
    </w:p>
    <w:p w14:paraId="5EE42AFB">
      <w:pPr>
        <w:pStyle w:val="29"/>
        <w:keepNext w:val="0"/>
        <w:keepLines w:val="0"/>
        <w:pageBreakBefore w:val="0"/>
        <w:widowControl/>
        <w:kinsoku/>
        <w:wordWrap/>
        <w:overflowPunct/>
        <w:topLinePunct w:val="0"/>
        <w:autoSpaceDE w:val="0"/>
        <w:autoSpaceDN w:val="0"/>
        <w:bidi w:val="0"/>
        <w:adjustRightInd/>
        <w:snapToGrid/>
        <w:textAlignment w:val="auto"/>
        <w:rPr>
          <w:rFonts w:hint="eastAsia"/>
          <w:sz w:val="22"/>
          <w:szCs w:val="22"/>
        </w:rPr>
      </w:pPr>
      <w:r>
        <w:rPr>
          <w:rFonts w:hint="eastAsia"/>
          <w:sz w:val="22"/>
          <w:szCs w:val="22"/>
        </w:rPr>
        <w:t>一般风险：</w:t>
      </w:r>
      <w:r>
        <w:rPr>
          <w:rFonts w:hint="eastAsia"/>
          <w:sz w:val="22"/>
          <w:szCs w:val="22"/>
          <w:lang w:eastAsia="zh-CN"/>
        </w:rPr>
        <w:t>黄色</w:t>
      </w:r>
      <w:r>
        <w:rPr>
          <w:rFonts w:hint="eastAsia"/>
          <w:sz w:val="22"/>
          <w:szCs w:val="22"/>
        </w:rPr>
        <w:t>，由车间、班组和岗位同时管控，该风险需要进行控制。</w:t>
      </w:r>
    </w:p>
    <w:p w14:paraId="61C27B55">
      <w:pPr>
        <w:pStyle w:val="29"/>
        <w:keepNext w:val="0"/>
        <w:keepLines w:val="0"/>
        <w:pageBreakBefore w:val="0"/>
        <w:widowControl/>
        <w:kinsoku/>
        <w:wordWrap/>
        <w:overflowPunct/>
        <w:topLinePunct w:val="0"/>
        <w:autoSpaceDE w:val="0"/>
        <w:autoSpaceDN w:val="0"/>
        <w:bidi w:val="0"/>
        <w:adjustRightInd/>
        <w:snapToGrid/>
        <w:textAlignment w:val="auto"/>
        <w:rPr>
          <w:rFonts w:hint="eastAsia"/>
          <w:sz w:val="22"/>
          <w:szCs w:val="22"/>
        </w:rPr>
      </w:pPr>
      <w:r>
        <w:rPr>
          <w:rFonts w:hint="eastAsia"/>
          <w:sz w:val="22"/>
          <w:szCs w:val="22"/>
          <w:lang w:eastAsia="zh-CN"/>
        </w:rPr>
        <w:t>较大风险</w:t>
      </w:r>
      <w:r>
        <w:rPr>
          <w:rFonts w:hint="eastAsia"/>
          <w:sz w:val="22"/>
          <w:szCs w:val="22"/>
        </w:rPr>
        <w:t>：</w:t>
      </w:r>
      <w:r>
        <w:rPr>
          <w:rFonts w:hint="eastAsia"/>
          <w:sz w:val="22"/>
          <w:szCs w:val="22"/>
          <w:lang w:eastAsia="zh-CN"/>
        </w:rPr>
        <w:t>橙色</w:t>
      </w:r>
      <w:r>
        <w:rPr>
          <w:rFonts w:hint="eastAsia"/>
          <w:sz w:val="22"/>
          <w:szCs w:val="22"/>
        </w:rPr>
        <w:t>，由部门、车间、班组和岗位同时管控，该风险需要制定建议改进措施进行控制管理。</w:t>
      </w:r>
    </w:p>
    <w:p w14:paraId="5FBF67F1">
      <w:pPr>
        <w:pStyle w:val="29"/>
        <w:keepNext w:val="0"/>
        <w:keepLines w:val="0"/>
        <w:pageBreakBefore w:val="0"/>
        <w:widowControl/>
        <w:kinsoku/>
        <w:wordWrap/>
        <w:overflowPunct/>
        <w:topLinePunct w:val="0"/>
        <w:autoSpaceDE w:val="0"/>
        <w:autoSpaceDN w:val="0"/>
        <w:bidi w:val="0"/>
        <w:adjustRightInd/>
        <w:snapToGrid/>
        <w:textAlignment w:val="auto"/>
        <w:rPr>
          <w:rFonts w:hint="eastAsia"/>
          <w:sz w:val="22"/>
          <w:szCs w:val="22"/>
        </w:rPr>
      </w:pPr>
      <w:r>
        <w:rPr>
          <w:rFonts w:hint="eastAsia"/>
          <w:sz w:val="22"/>
          <w:szCs w:val="22"/>
          <w:lang w:eastAsia="zh-CN"/>
        </w:rPr>
        <w:t>重大风险</w:t>
      </w:r>
      <w:r>
        <w:rPr>
          <w:rFonts w:hint="eastAsia"/>
          <w:sz w:val="22"/>
          <w:szCs w:val="22"/>
        </w:rPr>
        <w:t>：</w:t>
      </w:r>
      <w:r>
        <w:rPr>
          <w:rFonts w:hint="eastAsia"/>
          <w:sz w:val="22"/>
          <w:szCs w:val="22"/>
          <w:lang w:eastAsia="zh-CN"/>
        </w:rPr>
        <w:t>红色</w:t>
      </w:r>
      <w:r>
        <w:rPr>
          <w:rFonts w:hint="eastAsia"/>
          <w:sz w:val="22"/>
          <w:szCs w:val="22"/>
        </w:rPr>
        <w:t>，由公司、部门、车间、班组和岗位同时管控，应立即整改，视具体情况决定是否停产整改，需要停产整改的，只有当风险降至可接受后，才能开始生产或继续工作。</w:t>
      </w:r>
    </w:p>
    <w:bookmarkEnd w:id="70"/>
    <w:p w14:paraId="249D5356">
      <w:pPr>
        <w:pStyle w:val="29"/>
        <w:keepNext w:val="0"/>
        <w:keepLines w:val="0"/>
        <w:pageBreakBefore w:val="0"/>
        <w:widowControl/>
        <w:kinsoku/>
        <w:wordWrap/>
        <w:overflowPunct/>
        <w:topLinePunct w:val="0"/>
        <w:autoSpaceDE w:val="0"/>
        <w:autoSpaceDN w:val="0"/>
        <w:bidi w:val="0"/>
        <w:adjustRightInd/>
        <w:snapToGrid/>
        <w:ind w:left="0" w:leftChars="0" w:firstLine="440" w:firstLineChars="200"/>
        <w:textAlignment w:val="auto"/>
        <w:rPr>
          <w:rFonts w:hint="eastAsia"/>
          <w:sz w:val="22"/>
          <w:szCs w:val="22"/>
          <w:lang w:eastAsia="zh-CN"/>
        </w:rPr>
      </w:pPr>
      <w:bookmarkStart w:id="71" w:name="_Toc475021514"/>
      <w:r>
        <w:rPr>
          <w:rFonts w:hint="eastAsia"/>
          <w:sz w:val="22"/>
          <w:szCs w:val="22"/>
          <w:lang w:val="en-US" w:eastAsia="zh-CN"/>
        </w:rPr>
        <w:t>2</w:t>
      </w:r>
      <w:r>
        <w:rPr>
          <w:rFonts w:hint="eastAsia"/>
          <w:sz w:val="22"/>
          <w:szCs w:val="22"/>
          <w:lang w:eastAsia="zh-CN"/>
        </w:rPr>
        <w:t>）确定较大以上风险</w:t>
      </w:r>
      <w:bookmarkEnd w:id="71"/>
    </w:p>
    <w:p w14:paraId="77E0291E">
      <w:pPr>
        <w:pStyle w:val="29"/>
        <w:keepNext w:val="0"/>
        <w:keepLines w:val="0"/>
        <w:pageBreakBefore w:val="0"/>
        <w:widowControl/>
        <w:kinsoku/>
        <w:wordWrap/>
        <w:overflowPunct/>
        <w:topLinePunct w:val="0"/>
        <w:autoSpaceDE w:val="0"/>
        <w:autoSpaceDN w:val="0"/>
        <w:bidi w:val="0"/>
        <w:adjustRightInd/>
        <w:snapToGrid/>
        <w:textAlignment w:val="auto"/>
        <w:rPr>
          <w:rFonts w:hint="eastAsia"/>
          <w:lang w:eastAsia="zh-CN"/>
        </w:rPr>
      </w:pPr>
      <w:bookmarkStart w:id="72" w:name="_Toc475021515"/>
      <w:bookmarkStart w:id="73" w:name="_Toc470695970"/>
      <w:r>
        <w:rPr>
          <w:rFonts w:hint="eastAsia"/>
          <w:lang w:val="en-US" w:eastAsia="zh-CN"/>
        </w:rPr>
        <w:t>（</w:t>
      </w:r>
      <w:r>
        <w:rPr>
          <w:rFonts w:hint="default"/>
          <w:lang w:val="en-US" w:eastAsia="zh-CN"/>
        </w:rPr>
        <w:t>1</w:t>
      </w:r>
      <w:r>
        <w:rPr>
          <w:rFonts w:hint="eastAsia"/>
          <w:lang w:val="en-US" w:eastAsia="zh-CN"/>
        </w:rPr>
        <w:t xml:space="preserve">）存在以下情形的，应判定为重大安全风险： </w:t>
      </w:r>
    </w:p>
    <w:p w14:paraId="3986C5A5">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val="en-US" w:eastAsia="zh-CN"/>
        </w:rPr>
      </w:pPr>
      <w:r>
        <w:rPr>
          <w:rFonts w:hint="eastAsia"/>
          <w:lang w:val="en-US" w:eastAsia="zh-CN"/>
        </w:rPr>
        <w:t>构成危险化学品一、二级重大危险源的场所和设施；</w:t>
      </w:r>
    </w:p>
    <w:p w14:paraId="029FC541">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 xml:space="preserve">违反法律、法规及国家标准中强制性条款的； </w:t>
      </w:r>
    </w:p>
    <w:p w14:paraId="57B4E265">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粉尘涉爆单班作业</w:t>
      </w:r>
      <w:r>
        <w:rPr>
          <w:rFonts w:hint="default"/>
          <w:lang w:val="en-US" w:eastAsia="zh-CN"/>
        </w:rPr>
        <w:t>10</w:t>
      </w:r>
      <w:r>
        <w:rPr>
          <w:rFonts w:hint="eastAsia"/>
          <w:lang w:val="en-US" w:eastAsia="zh-CN"/>
        </w:rPr>
        <w:t xml:space="preserve">人（含）以上的粉尘涉爆场所； </w:t>
      </w:r>
    </w:p>
    <w:p w14:paraId="2AB79643">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作业人数</w:t>
      </w:r>
      <w:r>
        <w:rPr>
          <w:rFonts w:hint="default"/>
          <w:lang w:val="en-US" w:eastAsia="zh-CN"/>
        </w:rPr>
        <w:t>10</w:t>
      </w:r>
      <w:r>
        <w:rPr>
          <w:rFonts w:hint="eastAsia"/>
          <w:lang w:val="en-US" w:eastAsia="zh-CN"/>
        </w:rPr>
        <w:t xml:space="preserve">人（含）以上涉及高炉、转炉以及煤气柜 的场所和设施； </w:t>
      </w:r>
    </w:p>
    <w:p w14:paraId="7C116C9F">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作业人数</w:t>
      </w:r>
      <w:r>
        <w:rPr>
          <w:rFonts w:hint="default"/>
          <w:lang w:val="en-US" w:eastAsia="zh-CN"/>
        </w:rPr>
        <w:t>10</w:t>
      </w:r>
      <w:r>
        <w:rPr>
          <w:rFonts w:hint="eastAsia"/>
          <w:lang w:val="en-US" w:eastAsia="zh-CN"/>
        </w:rPr>
        <w:t xml:space="preserve">人（含）以上涉及 </w:t>
      </w:r>
      <w:r>
        <w:rPr>
          <w:rFonts w:hint="default"/>
          <w:lang w:val="en-US" w:eastAsia="zh-CN"/>
        </w:rPr>
        <w:t xml:space="preserve">10 </w:t>
      </w:r>
      <w:r>
        <w:rPr>
          <w:rFonts w:hint="eastAsia"/>
          <w:lang w:val="en-US" w:eastAsia="zh-CN"/>
        </w:rPr>
        <w:t xml:space="preserve">吨以上电炉、熔炼炉且采用起重机吊运熔融金属的场所和设施； </w:t>
      </w:r>
    </w:p>
    <w:p w14:paraId="1F7B2B4F">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作业人数</w:t>
      </w:r>
      <w:r>
        <w:rPr>
          <w:rFonts w:hint="default"/>
          <w:lang w:val="en-US" w:eastAsia="zh-CN"/>
        </w:rPr>
        <w:t>10</w:t>
      </w:r>
      <w:r>
        <w:rPr>
          <w:rFonts w:hint="eastAsia"/>
          <w:lang w:val="en-US" w:eastAsia="zh-CN"/>
        </w:rPr>
        <w:t xml:space="preserve">人（含）以上涉及深井铸造的场所； </w:t>
      </w:r>
    </w:p>
    <w:p w14:paraId="2CA30FE8">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作业人数</w:t>
      </w:r>
      <w:r>
        <w:rPr>
          <w:rFonts w:hint="default"/>
          <w:lang w:val="en-US" w:eastAsia="zh-CN"/>
        </w:rPr>
        <w:t>10</w:t>
      </w:r>
      <w:r>
        <w:rPr>
          <w:rFonts w:hint="eastAsia"/>
          <w:lang w:val="en-US" w:eastAsia="zh-CN"/>
        </w:rPr>
        <w:t xml:space="preserve">人（含）以上涉及重点监管化工工艺、场所及设施； </w:t>
      </w:r>
    </w:p>
    <w:p w14:paraId="0BD4285A">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作业人数</w:t>
      </w:r>
      <w:r>
        <w:rPr>
          <w:rFonts w:hint="default"/>
          <w:lang w:val="en-US" w:eastAsia="zh-CN"/>
        </w:rPr>
        <w:t>10</w:t>
      </w:r>
      <w:r>
        <w:rPr>
          <w:rFonts w:hint="eastAsia"/>
          <w:lang w:val="en-US" w:eastAsia="zh-CN"/>
        </w:rPr>
        <w:t xml:space="preserve">人（含）以上涉及爆炸品及具有爆炸性的 化学品的场所和设施； </w:t>
      </w:r>
    </w:p>
    <w:p w14:paraId="73A1C766">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作业人数</w:t>
      </w:r>
      <w:r>
        <w:rPr>
          <w:rFonts w:hint="default"/>
          <w:lang w:val="en-US" w:eastAsia="zh-CN"/>
        </w:rPr>
        <w:t>10</w:t>
      </w:r>
      <w:r>
        <w:rPr>
          <w:rFonts w:hint="eastAsia"/>
          <w:lang w:val="en-US" w:eastAsia="zh-CN"/>
        </w:rPr>
        <w:t xml:space="preserve">人（含）以上涉及使用剧毒化学品的场所； </w:t>
      </w:r>
    </w:p>
    <w:p w14:paraId="64E30971">
      <w:pPr>
        <w:pStyle w:val="29"/>
        <w:keepNext w:val="0"/>
        <w:keepLines w:val="0"/>
        <w:pageBreakBefore w:val="0"/>
        <w:widowControl/>
        <w:numPr>
          <w:ilvl w:val="0"/>
          <w:numId w:val="21"/>
        </w:numPr>
        <w:kinsoku/>
        <w:wordWrap/>
        <w:overflowPunct/>
        <w:topLinePunct w:val="0"/>
        <w:autoSpaceDE w:val="0"/>
        <w:autoSpaceDN w:val="0"/>
        <w:bidi w:val="0"/>
        <w:adjustRightInd/>
        <w:snapToGrid/>
        <w:ind w:left="0" w:leftChars="0" w:firstLine="400" w:firstLineChars="0"/>
        <w:textAlignment w:val="auto"/>
        <w:rPr>
          <w:rFonts w:hint="eastAsia"/>
          <w:lang w:eastAsia="zh-CN"/>
        </w:rPr>
      </w:pPr>
      <w:r>
        <w:rPr>
          <w:rFonts w:hint="eastAsia"/>
          <w:lang w:val="en-US" w:eastAsia="zh-CN"/>
        </w:rPr>
        <w:t xml:space="preserve">其他发生火灾、爆炸等事故可能造成十人以上人员死亡的较大以上安全风险。 </w:t>
      </w:r>
    </w:p>
    <w:p w14:paraId="4FC71287">
      <w:pPr>
        <w:pStyle w:val="29"/>
        <w:keepNext w:val="0"/>
        <w:keepLines w:val="0"/>
        <w:pageBreakBefore w:val="0"/>
        <w:widowControl/>
        <w:kinsoku/>
        <w:wordWrap/>
        <w:overflowPunct/>
        <w:topLinePunct w:val="0"/>
        <w:autoSpaceDE w:val="0"/>
        <w:autoSpaceDN w:val="0"/>
        <w:bidi w:val="0"/>
        <w:adjustRightInd/>
        <w:snapToGrid/>
        <w:textAlignment w:val="auto"/>
        <w:rPr>
          <w:rFonts w:hint="eastAsia"/>
          <w:lang w:eastAsia="zh-CN"/>
        </w:rPr>
      </w:pPr>
      <w:r>
        <w:rPr>
          <w:rFonts w:hint="eastAsia"/>
          <w:lang w:val="en-US" w:eastAsia="zh-CN"/>
        </w:rPr>
        <w:t>（</w:t>
      </w:r>
      <w:r>
        <w:rPr>
          <w:rFonts w:hint="default"/>
          <w:lang w:val="en-US" w:eastAsia="zh-CN"/>
        </w:rPr>
        <w:t>2</w:t>
      </w:r>
      <w:r>
        <w:rPr>
          <w:rFonts w:hint="eastAsia"/>
          <w:lang w:val="en-US" w:eastAsia="zh-CN"/>
        </w:rPr>
        <w:t xml:space="preserve">）存在以下情形的，应判定为较大安全风险： </w:t>
      </w:r>
    </w:p>
    <w:p w14:paraId="2E020B3C">
      <w:pPr>
        <w:pStyle w:val="29"/>
        <w:keepNext w:val="0"/>
        <w:keepLines w:val="0"/>
        <w:pageBreakBefore w:val="0"/>
        <w:widowControl/>
        <w:kinsoku/>
        <w:wordWrap/>
        <w:overflowPunct/>
        <w:topLinePunct w:val="0"/>
        <w:autoSpaceDE w:val="0"/>
        <w:autoSpaceDN w:val="0"/>
        <w:bidi w:val="0"/>
        <w:adjustRightInd/>
        <w:snapToGrid/>
        <w:textAlignment w:val="auto"/>
        <w:rPr>
          <w:rFonts w:hint="eastAsia"/>
          <w:lang w:eastAsia="zh-CN"/>
        </w:rPr>
      </w:pPr>
      <w:r>
        <w:rPr>
          <w:rFonts w:hint="eastAsia"/>
          <w:lang w:val="en-US" w:eastAsia="zh-CN"/>
        </w:rPr>
        <w:t xml:space="preserve">①符合《江苏省工业企业较大以上安全生产风险目录（第一批）》所列情形，经评估未构成重大安全风险的； </w:t>
      </w:r>
    </w:p>
    <w:p w14:paraId="5417FA23">
      <w:pPr>
        <w:pStyle w:val="29"/>
        <w:keepNext w:val="0"/>
        <w:keepLines w:val="0"/>
        <w:pageBreakBefore w:val="0"/>
        <w:widowControl/>
        <w:kinsoku/>
        <w:wordWrap/>
        <w:overflowPunct/>
        <w:topLinePunct w:val="0"/>
        <w:autoSpaceDE w:val="0"/>
        <w:autoSpaceDN w:val="0"/>
        <w:bidi w:val="0"/>
        <w:adjustRightInd/>
        <w:snapToGrid/>
        <w:textAlignment w:val="auto"/>
        <w:rPr>
          <w:rFonts w:hint="eastAsia"/>
          <w:lang w:eastAsia="zh-CN"/>
        </w:rPr>
      </w:pPr>
      <w:r>
        <w:rPr>
          <w:rFonts w:hint="eastAsia"/>
          <w:lang w:val="en-US" w:eastAsia="zh-CN"/>
        </w:rPr>
        <w:t xml:space="preserve">②构成危险化学品三、四级重大危险源的场所和设 </w:t>
      </w:r>
    </w:p>
    <w:p w14:paraId="411A8F4A">
      <w:pPr>
        <w:pStyle w:val="29"/>
        <w:keepNext w:val="0"/>
        <w:keepLines w:val="0"/>
        <w:pageBreakBefore w:val="0"/>
        <w:widowControl/>
        <w:kinsoku/>
        <w:wordWrap/>
        <w:overflowPunct/>
        <w:topLinePunct w:val="0"/>
        <w:autoSpaceDE w:val="0"/>
        <w:autoSpaceDN w:val="0"/>
        <w:bidi w:val="0"/>
        <w:adjustRightInd/>
        <w:snapToGrid/>
        <w:textAlignment w:val="auto"/>
        <w:rPr>
          <w:rFonts w:hint="eastAsia"/>
          <w:lang w:eastAsia="zh-CN"/>
        </w:rPr>
      </w:pPr>
      <w:r>
        <w:rPr>
          <w:rFonts w:hint="eastAsia"/>
          <w:lang w:val="en-US" w:eastAsia="zh-CN"/>
        </w:rPr>
        <w:t xml:space="preserve">施；③对未列入安全风险目录的其他安全风险，经风险评估确定为较大以上安全风险的。 </w:t>
      </w:r>
    </w:p>
    <w:bookmarkEnd w:id="72"/>
    <w:bookmarkEnd w:id="73"/>
    <w:p w14:paraId="13C1CFE7">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74" w:name="_Toc32659"/>
      <w:bookmarkStart w:id="75" w:name="_Toc479317596"/>
      <w:r>
        <w:rPr>
          <w:rFonts w:hint="eastAsia"/>
          <w:sz w:val="24"/>
          <w:szCs w:val="24"/>
          <w:lang w:val="en-US" w:eastAsia="zh-CN"/>
        </w:rPr>
        <w:t>3.3.4 风险控制措施的制定与实施</w:t>
      </w:r>
      <w:bookmarkEnd w:id="74"/>
      <w:bookmarkEnd w:id="75"/>
    </w:p>
    <w:p w14:paraId="6B5F8712">
      <w:pPr>
        <w:pStyle w:val="29"/>
        <w:keepNext w:val="0"/>
        <w:keepLines w:val="0"/>
        <w:pageBreakBefore w:val="0"/>
        <w:widowControl/>
        <w:kinsoku/>
        <w:wordWrap/>
        <w:overflowPunct/>
        <w:topLinePunct w:val="0"/>
        <w:autoSpaceDE w:val="0"/>
        <w:autoSpaceDN w:val="0"/>
        <w:bidi w:val="0"/>
        <w:adjustRightInd/>
        <w:snapToGrid/>
        <w:spacing w:line="240" w:lineRule="auto"/>
        <w:ind w:left="0"/>
        <w:textAlignment w:val="auto"/>
        <w:outlineLvl w:val="9"/>
        <w:rPr>
          <w:rFonts w:hint="eastAsia" w:ascii="Arial" w:hAnsi="Arial"/>
          <w:color w:val="000000"/>
          <w:sz w:val="22"/>
          <w:szCs w:val="22"/>
          <w:lang w:eastAsia="zh-CN"/>
        </w:rPr>
      </w:pPr>
      <w:r>
        <w:rPr>
          <w:rFonts w:hint="eastAsia" w:ascii="Arial" w:hAnsi="Arial"/>
          <w:color w:val="000000"/>
          <w:sz w:val="22"/>
          <w:szCs w:val="22"/>
        </w:rPr>
        <w:t>各部门应根据风险评价结果及经营运行情况等，确定不可接受的风险，按规定程序审批，制定并落实控制措施，将风险尤其是重大及以上风险控制在可以接受的程度</w:t>
      </w:r>
      <w:r>
        <w:rPr>
          <w:rFonts w:hint="eastAsia" w:ascii="Arial" w:hAnsi="Arial"/>
          <w:color w:val="000000"/>
          <w:sz w:val="22"/>
          <w:szCs w:val="22"/>
          <w:lang w:eastAsia="zh-CN"/>
        </w:rPr>
        <w:t>。</w:t>
      </w:r>
    </w:p>
    <w:p w14:paraId="4F3F624C">
      <w:pPr>
        <w:pStyle w:val="71"/>
        <w:keepNext w:val="0"/>
        <w:keepLines w:val="0"/>
        <w:pageBreakBefore w:val="0"/>
        <w:numPr>
          <w:ilvl w:val="2"/>
          <w:numId w:val="0"/>
        </w:numPr>
        <w:kinsoku/>
        <w:wordWrap/>
        <w:overflowPunct/>
        <w:topLinePunct w:val="0"/>
        <w:bidi w:val="0"/>
        <w:adjustRightInd/>
        <w:snapToGrid w:val="0"/>
        <w:spacing w:before="0" w:beforeLines="0" w:after="0" w:afterLines="0" w:line="240" w:lineRule="auto"/>
        <w:ind w:left="0" w:leftChars="0"/>
        <w:textAlignment w:val="auto"/>
        <w:outlineLvl w:val="9"/>
        <w:rPr>
          <w:rFonts w:hAnsi="宋体"/>
          <w:sz w:val="22"/>
          <w:szCs w:val="22"/>
        </w:rPr>
      </w:pPr>
      <w:r>
        <w:rPr>
          <w:rFonts w:hint="eastAsia" w:hAnsi="宋体"/>
          <w:sz w:val="22"/>
          <w:szCs w:val="22"/>
        </w:rPr>
        <w:t>制定风险控制措施时应从工程技术措施、管理措施、培训教育措施、个体防护措施、应急处置措施这五类中进行选择。</w:t>
      </w:r>
    </w:p>
    <w:p w14:paraId="2C7669DA">
      <w:pPr>
        <w:pStyle w:val="71"/>
        <w:keepNext w:val="0"/>
        <w:keepLines w:val="0"/>
        <w:pageBreakBefore w:val="0"/>
        <w:widowControl/>
        <w:numPr>
          <w:ilvl w:val="0"/>
          <w:numId w:val="22"/>
        </w:numPr>
        <w:kinsoku/>
        <w:wordWrap/>
        <w:overflowPunct/>
        <w:topLinePunct w:val="0"/>
        <w:autoSpaceDE/>
        <w:autoSpaceDN/>
        <w:bidi w:val="0"/>
        <w:adjustRightInd/>
        <w:snapToGrid w:val="0"/>
        <w:spacing w:before="0" w:beforeLines="0" w:after="0" w:afterLines="0" w:line="240" w:lineRule="auto"/>
        <w:ind w:left="0" w:leftChars="0" w:firstLine="440" w:firstLineChars="200"/>
        <w:textAlignment w:val="auto"/>
        <w:outlineLvl w:val="9"/>
        <w:rPr>
          <w:rFonts w:hint="eastAsia" w:hAnsi="宋体"/>
          <w:sz w:val="22"/>
          <w:szCs w:val="22"/>
        </w:rPr>
      </w:pPr>
      <w:r>
        <w:rPr>
          <w:rFonts w:hint="eastAsia" w:hAnsi="宋体"/>
          <w:sz w:val="22"/>
          <w:szCs w:val="22"/>
        </w:rPr>
        <w:t>风险控制措施的选择应考虑可行性、可靠性、先进性、安全性、经济合理性、经营运行情况及可靠的技术保证和服务。</w:t>
      </w:r>
    </w:p>
    <w:p w14:paraId="0A9ED29B">
      <w:pPr>
        <w:pStyle w:val="71"/>
        <w:keepNext w:val="0"/>
        <w:keepLines w:val="0"/>
        <w:pageBreakBefore w:val="0"/>
        <w:widowControl/>
        <w:numPr>
          <w:ilvl w:val="0"/>
          <w:numId w:val="22"/>
        </w:numPr>
        <w:kinsoku/>
        <w:wordWrap/>
        <w:overflowPunct/>
        <w:topLinePunct w:val="0"/>
        <w:autoSpaceDE/>
        <w:autoSpaceDN/>
        <w:bidi w:val="0"/>
        <w:adjustRightInd/>
        <w:snapToGrid w:val="0"/>
        <w:spacing w:before="0" w:beforeLines="0" w:after="0" w:afterLines="0" w:line="240" w:lineRule="auto"/>
        <w:ind w:left="0" w:leftChars="0" w:firstLine="440" w:firstLineChars="200"/>
        <w:textAlignment w:val="auto"/>
        <w:outlineLvl w:val="9"/>
        <w:rPr>
          <w:rFonts w:hAnsi="宋体"/>
          <w:sz w:val="22"/>
          <w:szCs w:val="22"/>
        </w:rPr>
      </w:pPr>
      <w:r>
        <w:rPr>
          <w:rFonts w:hint="eastAsia" w:hAnsi="宋体"/>
          <w:sz w:val="22"/>
          <w:szCs w:val="22"/>
        </w:rPr>
        <w:t>设备设施类危险源通常采用以下控制措施：限制器、安全屏护、报警、联锁、安全泄放等工艺设备本身固有的控制措施和检查、检测、维保等常规的管理措施。</w:t>
      </w:r>
    </w:p>
    <w:p w14:paraId="236B61CC">
      <w:pPr>
        <w:pStyle w:val="71"/>
        <w:keepNext w:val="0"/>
        <w:keepLines w:val="0"/>
        <w:pageBreakBefore w:val="0"/>
        <w:widowControl/>
        <w:numPr>
          <w:ilvl w:val="0"/>
          <w:numId w:val="22"/>
        </w:numPr>
        <w:kinsoku/>
        <w:wordWrap/>
        <w:overflowPunct/>
        <w:topLinePunct w:val="0"/>
        <w:autoSpaceDE/>
        <w:autoSpaceDN/>
        <w:bidi w:val="0"/>
        <w:adjustRightInd/>
        <w:snapToGrid w:val="0"/>
        <w:spacing w:before="0" w:beforeLines="0" w:after="0" w:afterLines="0" w:line="240" w:lineRule="auto"/>
        <w:ind w:left="0" w:leftChars="0" w:firstLine="440" w:firstLineChars="200"/>
        <w:textAlignment w:val="auto"/>
        <w:outlineLvl w:val="9"/>
        <w:rPr>
          <w:rFonts w:hint="eastAsia" w:hAnsi="宋体"/>
          <w:sz w:val="22"/>
          <w:szCs w:val="22"/>
        </w:rPr>
      </w:pPr>
      <w:r>
        <w:rPr>
          <w:rFonts w:hint="eastAsia" w:hAnsi="宋体"/>
          <w:sz w:val="22"/>
          <w:szCs w:val="22"/>
        </w:rPr>
        <w:t xml:space="preserve">作业活动类危险源的控制措施通常从以下方面考虑：制度、操作规程的完备性、管理流程合理性、作业环境可控性、作业对象完好状态及作业人员技术能力等方面。 </w:t>
      </w:r>
    </w:p>
    <w:p w14:paraId="52B5283C">
      <w:pPr>
        <w:pStyle w:val="71"/>
        <w:keepNext w:val="0"/>
        <w:keepLines w:val="0"/>
        <w:pageBreakBefore w:val="0"/>
        <w:widowControl/>
        <w:numPr>
          <w:ilvl w:val="0"/>
          <w:numId w:val="22"/>
        </w:numPr>
        <w:kinsoku/>
        <w:wordWrap/>
        <w:overflowPunct/>
        <w:topLinePunct w:val="0"/>
        <w:autoSpaceDE/>
        <w:autoSpaceDN/>
        <w:bidi w:val="0"/>
        <w:adjustRightInd/>
        <w:snapToGrid w:val="0"/>
        <w:spacing w:before="0" w:beforeLines="0" w:after="0" w:afterLines="0" w:line="240" w:lineRule="auto"/>
        <w:ind w:left="0" w:leftChars="0" w:firstLine="440" w:firstLineChars="200"/>
        <w:textAlignment w:val="auto"/>
        <w:outlineLvl w:val="9"/>
        <w:rPr>
          <w:rFonts w:hint="eastAsia" w:hAnsi="宋体"/>
          <w:sz w:val="22"/>
          <w:szCs w:val="22"/>
        </w:rPr>
      </w:pPr>
      <w:r>
        <w:rPr>
          <w:rFonts w:hint="eastAsia" w:hAnsi="宋体"/>
          <w:sz w:val="22"/>
          <w:szCs w:val="22"/>
        </w:rPr>
        <w:t>同级别的风险要结合实际采取一种或多种措施进行控制，对于评价出的不可接受风险，应制定补充建议措施并实施，直至风险可以接受。</w:t>
      </w:r>
    </w:p>
    <w:p w14:paraId="400B91A7">
      <w:pPr>
        <w:pStyle w:val="71"/>
        <w:keepNext w:val="0"/>
        <w:keepLines w:val="0"/>
        <w:pageBreakBefore w:val="0"/>
        <w:widowControl/>
        <w:numPr>
          <w:ilvl w:val="0"/>
          <w:numId w:val="22"/>
        </w:numPr>
        <w:kinsoku/>
        <w:wordWrap/>
        <w:overflowPunct/>
        <w:topLinePunct w:val="0"/>
        <w:autoSpaceDE/>
        <w:autoSpaceDN/>
        <w:bidi w:val="0"/>
        <w:adjustRightInd/>
        <w:snapToGrid w:val="0"/>
        <w:spacing w:before="0" w:beforeLines="0" w:after="0" w:afterLines="0" w:line="240" w:lineRule="auto"/>
        <w:ind w:left="0" w:leftChars="0" w:firstLine="440" w:firstLineChars="200"/>
        <w:textAlignment w:val="auto"/>
        <w:outlineLvl w:val="9"/>
        <w:rPr>
          <w:rFonts w:hAnsi="宋体"/>
          <w:sz w:val="22"/>
          <w:szCs w:val="22"/>
        </w:rPr>
      </w:pPr>
      <w:r>
        <w:rPr>
          <w:rFonts w:hint="eastAsia" w:hAnsi="宋体"/>
          <w:sz w:val="22"/>
          <w:szCs w:val="22"/>
        </w:rPr>
        <w:t>风险控制措施应在实施前针对以下内容评审：</w:t>
      </w:r>
    </w:p>
    <w:p w14:paraId="333DA6B3">
      <w:pPr>
        <w:pStyle w:val="59"/>
        <w:keepNext w:val="0"/>
        <w:keepLines w:val="0"/>
        <w:pageBreakBefore w:val="0"/>
        <w:kinsoku/>
        <w:wordWrap/>
        <w:overflowPunct/>
        <w:topLinePunct w:val="0"/>
        <w:bidi w:val="0"/>
        <w:adjustRightInd/>
        <w:snapToGrid w:val="0"/>
        <w:spacing w:beforeAutospacing="0" w:afterAutospacing="0" w:line="240" w:lineRule="auto"/>
        <w:ind w:left="0" w:firstLine="770" w:firstLineChars="350"/>
        <w:textAlignment w:val="auto"/>
        <w:outlineLvl w:val="9"/>
        <w:rPr>
          <w:rFonts w:hAnsi="宋体"/>
          <w:sz w:val="22"/>
          <w:szCs w:val="22"/>
        </w:rPr>
      </w:pPr>
      <w:r>
        <w:rPr>
          <w:rFonts w:hint="eastAsia" w:hAnsi="宋体"/>
          <w:sz w:val="22"/>
          <w:szCs w:val="22"/>
        </w:rPr>
        <w:t>——措施的可行性和有效性；</w:t>
      </w:r>
    </w:p>
    <w:p w14:paraId="05C5F3DE">
      <w:pPr>
        <w:pStyle w:val="59"/>
        <w:keepNext w:val="0"/>
        <w:keepLines w:val="0"/>
        <w:pageBreakBefore w:val="0"/>
        <w:kinsoku/>
        <w:wordWrap/>
        <w:overflowPunct/>
        <w:topLinePunct w:val="0"/>
        <w:bidi w:val="0"/>
        <w:adjustRightInd/>
        <w:snapToGrid w:val="0"/>
        <w:spacing w:beforeAutospacing="0" w:afterAutospacing="0" w:line="240" w:lineRule="auto"/>
        <w:ind w:left="0" w:firstLine="770" w:firstLineChars="350"/>
        <w:textAlignment w:val="auto"/>
        <w:outlineLvl w:val="9"/>
        <w:rPr>
          <w:rFonts w:hAnsi="宋体"/>
          <w:sz w:val="22"/>
          <w:szCs w:val="22"/>
        </w:rPr>
      </w:pPr>
      <w:r>
        <w:rPr>
          <w:rFonts w:hint="eastAsia" w:hAnsi="宋体"/>
          <w:sz w:val="22"/>
          <w:szCs w:val="22"/>
        </w:rPr>
        <w:t>——是否使风险降低到可以接受的程度；</w:t>
      </w:r>
    </w:p>
    <w:p w14:paraId="48BC24FD">
      <w:pPr>
        <w:pStyle w:val="59"/>
        <w:keepNext w:val="0"/>
        <w:keepLines w:val="0"/>
        <w:pageBreakBefore w:val="0"/>
        <w:kinsoku/>
        <w:wordWrap/>
        <w:overflowPunct/>
        <w:topLinePunct w:val="0"/>
        <w:bidi w:val="0"/>
        <w:adjustRightInd/>
        <w:snapToGrid w:val="0"/>
        <w:spacing w:beforeAutospacing="0" w:afterAutospacing="0" w:line="240" w:lineRule="auto"/>
        <w:ind w:left="0" w:firstLine="770" w:firstLineChars="350"/>
        <w:textAlignment w:val="auto"/>
        <w:outlineLvl w:val="9"/>
        <w:rPr>
          <w:rFonts w:hAnsi="宋体"/>
          <w:sz w:val="22"/>
          <w:szCs w:val="22"/>
        </w:rPr>
      </w:pPr>
      <w:r>
        <w:rPr>
          <w:rFonts w:hint="eastAsia" w:hAnsi="宋体"/>
          <w:sz w:val="22"/>
          <w:szCs w:val="22"/>
        </w:rPr>
        <w:t>——是否产生新的风险；</w:t>
      </w:r>
    </w:p>
    <w:p w14:paraId="2AB96750">
      <w:pPr>
        <w:pStyle w:val="59"/>
        <w:keepNext w:val="0"/>
        <w:keepLines w:val="0"/>
        <w:pageBreakBefore w:val="0"/>
        <w:kinsoku/>
        <w:wordWrap/>
        <w:overflowPunct/>
        <w:topLinePunct w:val="0"/>
        <w:bidi w:val="0"/>
        <w:adjustRightInd/>
        <w:snapToGrid w:val="0"/>
        <w:spacing w:beforeAutospacing="0" w:afterAutospacing="0" w:line="240" w:lineRule="auto"/>
        <w:ind w:left="0" w:firstLine="770" w:firstLineChars="350"/>
        <w:textAlignment w:val="auto"/>
        <w:outlineLvl w:val="9"/>
        <w:rPr>
          <w:rFonts w:hAnsi="宋体"/>
          <w:sz w:val="22"/>
          <w:szCs w:val="22"/>
        </w:rPr>
      </w:pPr>
      <w:r>
        <w:rPr>
          <w:rFonts w:hint="eastAsia" w:hAnsi="宋体"/>
          <w:sz w:val="22"/>
          <w:szCs w:val="22"/>
        </w:rPr>
        <w:t>——是否已选定了最佳的解决方案；</w:t>
      </w:r>
    </w:p>
    <w:p w14:paraId="753F657B">
      <w:pPr>
        <w:pStyle w:val="59"/>
        <w:keepNext w:val="0"/>
        <w:keepLines w:val="0"/>
        <w:pageBreakBefore w:val="0"/>
        <w:kinsoku/>
        <w:wordWrap/>
        <w:overflowPunct/>
        <w:topLinePunct w:val="0"/>
        <w:bidi w:val="0"/>
        <w:adjustRightInd/>
        <w:snapToGrid w:val="0"/>
        <w:spacing w:beforeAutospacing="0" w:afterAutospacing="0" w:line="240" w:lineRule="auto"/>
        <w:ind w:left="0" w:firstLine="770" w:firstLineChars="350"/>
        <w:textAlignment w:val="auto"/>
        <w:outlineLvl w:val="9"/>
        <w:rPr>
          <w:rFonts w:hint="eastAsia" w:ascii="Arial" w:hAnsi="Arial"/>
          <w:color w:val="000000"/>
          <w:szCs w:val="26"/>
          <w:lang w:eastAsia="zh-CN"/>
        </w:rPr>
      </w:pPr>
      <w:r>
        <w:rPr>
          <w:rFonts w:hint="eastAsia" w:hAnsi="宋体"/>
          <w:sz w:val="22"/>
          <w:szCs w:val="22"/>
        </w:rPr>
        <w:t>——是否会被应用于实际工作中。</w:t>
      </w:r>
    </w:p>
    <w:p w14:paraId="185CA323">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76" w:name="_Toc472947764"/>
      <w:bookmarkStart w:id="77" w:name="_Toc32674"/>
      <w:bookmarkStart w:id="78" w:name="_Toc472505001"/>
      <w:bookmarkStart w:id="79" w:name="_Toc475021517"/>
      <w:bookmarkStart w:id="80" w:name="_Toc470695982"/>
      <w:bookmarkStart w:id="81" w:name="_Toc468967173"/>
      <w:bookmarkStart w:id="82" w:name="_Toc471493900"/>
      <w:r>
        <w:rPr>
          <w:rFonts w:hint="eastAsia"/>
          <w:sz w:val="24"/>
          <w:szCs w:val="24"/>
          <w:lang w:val="en-US" w:eastAsia="zh-CN"/>
        </w:rPr>
        <w:t>3.5 风险分级管控</w:t>
      </w:r>
      <w:bookmarkEnd w:id="76"/>
      <w:bookmarkEnd w:id="77"/>
      <w:bookmarkEnd w:id="78"/>
      <w:bookmarkEnd w:id="79"/>
      <w:bookmarkEnd w:id="80"/>
      <w:bookmarkEnd w:id="81"/>
      <w:bookmarkEnd w:id="82"/>
    </w:p>
    <w:p w14:paraId="76FBB785">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83" w:name="_Toc470695984"/>
      <w:bookmarkStart w:id="84" w:name="_Toc475021519"/>
      <w:r>
        <w:rPr>
          <w:rFonts w:hint="eastAsia"/>
          <w:sz w:val="24"/>
          <w:szCs w:val="24"/>
          <w:lang w:val="en-US" w:eastAsia="zh-CN"/>
        </w:rPr>
        <w:t>3.5.1 风险分级管控的要求</w:t>
      </w:r>
      <w:bookmarkEnd w:id="83"/>
      <w:bookmarkEnd w:id="84"/>
    </w:p>
    <w:p w14:paraId="3AB4CDC1">
      <w:pPr>
        <w:pStyle w:val="3"/>
        <w:keepNext w:val="0"/>
        <w:keepLines w:val="0"/>
        <w:pageBreakBefore w:val="0"/>
        <w:widowControl w:val="0"/>
        <w:numPr>
          <w:ilvl w:val="0"/>
          <w:numId w:val="0"/>
        </w:numPr>
        <w:tabs>
          <w:tab w:val="clear" w:pos="680"/>
        </w:tabs>
        <w:kinsoku/>
        <w:wordWrap/>
        <w:overflowPunct/>
        <w:topLinePunct w:val="0"/>
        <w:autoSpaceDE/>
        <w:autoSpaceDN/>
        <w:bidi w:val="0"/>
        <w:adjustRightInd/>
        <w:snapToGrid/>
        <w:spacing w:before="0" w:beforeLines="0" w:line="240" w:lineRule="auto"/>
        <w:ind w:firstLine="440" w:firstLineChars="200"/>
        <w:jc w:val="left"/>
        <w:textAlignment w:val="auto"/>
        <w:rPr>
          <w:rFonts w:hint="eastAsia" w:ascii="宋体" w:hAnsi="宋体" w:eastAsia="宋体" w:cs="Times New Roman"/>
          <w:bCs w:val="0"/>
          <w:kern w:val="0"/>
          <w:sz w:val="22"/>
          <w:szCs w:val="22"/>
          <w:lang w:val="en-US" w:eastAsia="zh-CN" w:bidi="ar-SA"/>
        </w:rPr>
      </w:pPr>
      <w:bookmarkStart w:id="85" w:name="_Toc470695985"/>
      <w:bookmarkStart w:id="86" w:name="_Toc475021520"/>
      <w:r>
        <w:rPr>
          <w:rFonts w:hint="eastAsia" w:ascii="宋体" w:hAnsi="宋体" w:eastAsia="宋体" w:cs="Times New Roman"/>
          <w:bCs w:val="0"/>
          <w:kern w:val="0"/>
          <w:sz w:val="22"/>
          <w:szCs w:val="22"/>
          <w:lang w:val="en-US" w:eastAsia="zh-CN" w:bidi="ar-SA"/>
        </w:rPr>
        <w:t>根据风险评价的分级结果，针对不同的风险级别采取不同的管控措施，按照</w:t>
      </w:r>
      <w:bookmarkStart w:id="87" w:name="_Toc517379396"/>
      <w:r>
        <w:rPr>
          <w:rFonts w:hint="eastAsia" w:ascii="宋体" w:hAnsi="宋体" w:eastAsia="宋体" w:cs="Times New Roman"/>
          <w:bCs w:val="0"/>
          <w:kern w:val="0"/>
          <w:sz w:val="22"/>
          <w:szCs w:val="22"/>
          <w:lang w:val="en-US" w:eastAsia="zh-CN" w:bidi="ar-SA"/>
        </w:rPr>
        <w:t>《风险辨识与管控制度</w:t>
      </w:r>
      <w:bookmarkEnd w:id="87"/>
      <w:r>
        <w:rPr>
          <w:rFonts w:hint="eastAsia" w:ascii="宋体" w:hAnsi="宋体" w:eastAsia="宋体" w:cs="Times New Roman"/>
          <w:bCs w:val="0"/>
          <w:kern w:val="0"/>
          <w:sz w:val="22"/>
          <w:szCs w:val="22"/>
          <w:lang w:val="en-US" w:eastAsia="zh-CN" w:bidi="ar-SA"/>
        </w:rPr>
        <w:t>》6.4.1风险分级管控的要求确定不同的层级管控，实施风险管控。</w:t>
      </w:r>
    </w:p>
    <w:p w14:paraId="498071D7">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r>
        <w:rPr>
          <w:rFonts w:hint="eastAsia"/>
          <w:sz w:val="24"/>
          <w:szCs w:val="24"/>
          <w:lang w:val="en-US" w:eastAsia="zh-CN"/>
        </w:rPr>
        <w:t>3.5.2 编制风险分级管控清单</w:t>
      </w:r>
      <w:bookmarkEnd w:id="85"/>
      <w:bookmarkEnd w:id="86"/>
    </w:p>
    <w:p w14:paraId="329E558B">
      <w:pPr>
        <w:pStyle w:val="29"/>
        <w:spacing w:beforeLines="50" w:afterLines="50"/>
        <w:rPr>
          <w:rFonts w:hint="eastAsia"/>
        </w:rPr>
      </w:pPr>
      <w:bookmarkStart w:id="88" w:name="_Toc475021521"/>
      <w:bookmarkStart w:id="89" w:name="_Toc466060662"/>
      <w:r>
        <w:rPr>
          <w:rFonts w:hint="eastAsia"/>
        </w:rPr>
        <w:t>企业结合实际情况和风险辨识要求，在每一轮危险源辨识和风险评价之后，</w:t>
      </w:r>
      <w:r>
        <w:rPr>
          <w:rFonts w:hint="eastAsia"/>
          <w:color w:val="0000FF"/>
          <w:lang w:val="en-US" w:eastAsia="zh-CN"/>
        </w:rPr>
        <w:t>XXX部门/人员负责</w:t>
      </w:r>
      <w:r>
        <w:rPr>
          <w:rFonts w:hint="eastAsia"/>
        </w:rPr>
        <w:t>编制本企业全部风险点各类风险信息的作业活动风险分级管控清单（</w:t>
      </w:r>
      <w:r>
        <w:rPr>
          <w:rFonts w:hint="eastAsia"/>
          <w:sz w:val="22"/>
          <w:szCs w:val="22"/>
          <w:lang w:eastAsia="zh-CN"/>
        </w:rPr>
        <w:t>《安全风险管理制度》附件</w:t>
      </w:r>
      <w:r>
        <w:rPr>
          <w:rFonts w:hint="eastAsia"/>
          <w:sz w:val="22"/>
          <w:szCs w:val="22"/>
          <w:lang w:val="en-US" w:eastAsia="zh-CN"/>
        </w:rPr>
        <w:t>4</w:t>
      </w:r>
      <w:r>
        <w:rPr>
          <w:rFonts w:hint="eastAsia"/>
        </w:rPr>
        <w:t>），并按规定及时更新公布</w:t>
      </w:r>
      <w:r>
        <w:rPr>
          <w:rFonts w:hint="eastAsia"/>
          <w:lang w:eastAsia="zh-CN"/>
        </w:rPr>
        <w:t>和上报系统</w:t>
      </w:r>
      <w:r>
        <w:rPr>
          <w:rFonts w:hint="eastAsia"/>
        </w:rPr>
        <w:t>。</w:t>
      </w:r>
    </w:p>
    <w:p w14:paraId="494347C6">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r>
        <w:rPr>
          <w:rFonts w:hint="eastAsia"/>
          <w:sz w:val="24"/>
          <w:szCs w:val="24"/>
          <w:lang w:val="en-US" w:eastAsia="zh-CN"/>
        </w:rPr>
        <w:t xml:space="preserve">3.6 安全检查 </w:t>
      </w:r>
    </w:p>
    <w:p w14:paraId="0CC35DF2">
      <w:pPr>
        <w:pStyle w:val="29"/>
        <w:spacing w:beforeLines="50" w:afterLines="50"/>
        <w:rPr>
          <w:rFonts w:hint="eastAsia"/>
          <w:lang w:val="en-US" w:eastAsia="zh-CN"/>
        </w:rPr>
      </w:pPr>
      <w:r>
        <w:rPr>
          <w:rFonts w:hint="eastAsia"/>
          <w:color w:val="0000FF"/>
          <w:lang w:val="en-US" w:eastAsia="zh-CN"/>
        </w:rPr>
        <w:t>XXX部门/人员负责</w:t>
      </w:r>
      <w:r>
        <w:rPr>
          <w:rFonts w:hint="eastAsia"/>
          <w:lang w:val="en-US" w:eastAsia="zh-CN"/>
        </w:rPr>
        <w:t>公司制定安全检查计划，按照检查计划对安全风险管控措施落实情况进行经常性检查，防止安全风险管控措施失效、弱化。在进行公司安全生产全面检查时应包括对安全风险管控措施落实情况的检查。</w:t>
      </w:r>
    </w:p>
    <w:p w14:paraId="679F5850">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r>
        <w:rPr>
          <w:rFonts w:hint="eastAsia"/>
          <w:sz w:val="24"/>
          <w:szCs w:val="24"/>
          <w:lang w:val="en-US" w:eastAsia="zh-CN"/>
        </w:rPr>
        <w:t xml:space="preserve">3.7 风险教育培训 </w:t>
      </w:r>
    </w:p>
    <w:p w14:paraId="1EF30949">
      <w:pPr>
        <w:pStyle w:val="29"/>
        <w:spacing w:beforeLines="50" w:afterLines="50"/>
        <w:rPr>
          <w:rFonts w:hint="default"/>
          <w:lang w:val="en-US" w:eastAsia="zh-CN"/>
        </w:rPr>
      </w:pPr>
      <w:r>
        <w:rPr>
          <w:rFonts w:hint="eastAsia"/>
          <w:color w:val="0000FF"/>
          <w:lang w:val="en-US" w:eastAsia="zh-CN"/>
        </w:rPr>
        <w:t>XXX部门/</w:t>
      </w:r>
      <w:r>
        <w:rPr>
          <w:rFonts w:hint="eastAsia" w:ascii="宋体" w:hAnsi="Times New Roman" w:eastAsia="宋体" w:cs="Times New Roman"/>
          <w:kern w:val="0"/>
          <w:sz w:val="21"/>
          <w:szCs w:val="20"/>
          <w:lang w:val="en-US" w:eastAsia="zh-CN" w:bidi="ar-SA"/>
        </w:rPr>
        <w:t>制定安全风险辨识管控培训计划，明确培训时间，培训内容、参加人员、考核方式、相关奖惩等内容，分层次、分阶段开展安全风险辨识管控相关内容的培训，提高全员安全风险辨识管控意识和管控能力，保证从业人员了解本岗位安全风险基本情况，熟悉</w:t>
      </w:r>
      <w:r>
        <w:rPr>
          <w:rFonts w:hint="eastAsia" w:cs="Times New Roman"/>
          <w:kern w:val="0"/>
          <w:sz w:val="21"/>
          <w:szCs w:val="20"/>
          <w:lang w:val="en-US" w:eastAsia="zh-CN" w:bidi="ar-SA"/>
        </w:rPr>
        <w:t>风险管控措施。</w:t>
      </w:r>
    </w:p>
    <w:p w14:paraId="79AFB580">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r>
        <w:rPr>
          <w:rFonts w:hint="eastAsia"/>
          <w:sz w:val="24"/>
          <w:szCs w:val="24"/>
          <w:lang w:val="en-US" w:eastAsia="zh-CN"/>
        </w:rPr>
        <w:t>3.8 安全风险档案管理与风险告知</w:t>
      </w:r>
      <w:bookmarkEnd w:id="88"/>
    </w:p>
    <w:bookmarkEnd w:id="89"/>
    <w:p w14:paraId="3C4C9909">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90" w:name="_Toc18010"/>
      <w:bookmarkStart w:id="91" w:name="_Toc472505002"/>
      <w:bookmarkStart w:id="92" w:name="_Toc472947765"/>
      <w:bookmarkStart w:id="93" w:name="_Toc475021522"/>
      <w:r>
        <w:rPr>
          <w:rFonts w:hint="eastAsia"/>
          <w:sz w:val="24"/>
          <w:szCs w:val="24"/>
          <w:lang w:val="en-US" w:eastAsia="zh-CN"/>
        </w:rPr>
        <w:t xml:space="preserve">3.8.1 风险档案 </w:t>
      </w:r>
    </w:p>
    <w:p w14:paraId="3192895A">
      <w:pPr>
        <w:keepNext w:val="0"/>
        <w:keepLines w:val="0"/>
        <w:widowControl/>
        <w:suppressLineNumbers w:val="0"/>
        <w:ind w:firstLine="420" w:firstLineChars="200"/>
        <w:jc w:val="left"/>
        <w:rPr>
          <w:rFonts w:hint="eastAsia" w:ascii="宋体" w:hAnsi="Times New Roman" w:eastAsia="宋体" w:cs="Times New Roman"/>
          <w:kern w:val="0"/>
          <w:sz w:val="21"/>
          <w:szCs w:val="20"/>
          <w:lang w:val="en-US" w:eastAsia="zh-CN" w:bidi="ar-SA"/>
        </w:rPr>
      </w:pPr>
      <w:r>
        <w:rPr>
          <w:rFonts w:hint="eastAsia"/>
          <w:color w:val="0000FF"/>
          <w:lang w:val="en-US" w:eastAsia="zh-CN"/>
        </w:rPr>
        <w:t>XXX部门/人员负责</w:t>
      </w:r>
      <w:r>
        <w:rPr>
          <w:rFonts w:hint="eastAsia" w:ascii="宋体" w:hAnsi="Times New Roman" w:eastAsia="宋体" w:cs="Times New Roman"/>
          <w:kern w:val="0"/>
          <w:sz w:val="21"/>
          <w:szCs w:val="20"/>
          <w:lang w:val="en-US" w:eastAsia="zh-CN" w:bidi="ar-SA"/>
        </w:rPr>
        <w:t xml:space="preserve">建立安全风险档案。安全风险档案包括安全风险管理制度、管控清单、风险分布图、变更情况、报告确认材料等内容。其中，较大以上安全风险资料应当单独立卷，内容包括安全风险名称、等级、所处位置、管控措施和变更情况等。 </w:t>
      </w:r>
    </w:p>
    <w:p w14:paraId="0C454212">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r>
        <w:rPr>
          <w:rFonts w:hint="eastAsia"/>
          <w:sz w:val="24"/>
          <w:szCs w:val="24"/>
          <w:lang w:val="en-US" w:eastAsia="zh-CN"/>
        </w:rPr>
        <w:t xml:space="preserve">3.8.2 风险教育培训 </w:t>
      </w:r>
    </w:p>
    <w:p w14:paraId="53DCCB72">
      <w:pPr>
        <w:keepNext w:val="0"/>
        <w:keepLines w:val="0"/>
        <w:widowControl/>
        <w:suppressLineNumbers w:val="0"/>
        <w:ind w:firstLine="420" w:firstLineChars="200"/>
        <w:jc w:val="left"/>
        <w:rPr>
          <w:rFonts w:hint="eastAsia" w:ascii="宋体" w:hAnsi="Times New Roman" w:eastAsia="宋体" w:cs="Times New Roman"/>
          <w:kern w:val="0"/>
          <w:sz w:val="21"/>
          <w:szCs w:val="20"/>
          <w:lang w:val="en-US" w:eastAsia="zh-CN" w:bidi="ar-SA"/>
        </w:rPr>
      </w:pPr>
      <w:r>
        <w:rPr>
          <w:rFonts w:hint="eastAsia"/>
          <w:color w:val="0000FF"/>
          <w:lang w:val="en-US" w:eastAsia="zh-CN"/>
        </w:rPr>
        <w:t>XXX部门/</w:t>
      </w:r>
      <w:r>
        <w:rPr>
          <w:rFonts w:hint="eastAsia" w:ascii="宋体" w:hAnsi="Times New Roman" w:eastAsia="宋体" w:cs="Times New Roman"/>
          <w:kern w:val="0"/>
          <w:sz w:val="21"/>
          <w:szCs w:val="20"/>
          <w:lang w:val="en-US" w:eastAsia="zh-CN" w:bidi="ar-SA"/>
        </w:rPr>
        <w:t xml:space="preserve">制定安全风险辨识管控培训计划，明确培训时间，培训内容、参加人员、考核方式、相关奖惩等内容，分层次、分阶段开展安全风险辨识管控相关内容的培训，提高全员安全风险辨识管控意识和管控能力，保证从业人员了解本岗位安全风险基本情况，熟悉安全风险管控措施，掌握事故应急处置要点，培训记录应妥善保存，归入安全风险档案管理。 </w:t>
      </w:r>
    </w:p>
    <w:p w14:paraId="34AB8A0A">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r>
        <w:rPr>
          <w:rFonts w:hint="eastAsia"/>
          <w:sz w:val="24"/>
          <w:szCs w:val="24"/>
          <w:lang w:val="en-US" w:eastAsia="zh-CN"/>
        </w:rPr>
        <w:t xml:space="preserve">2.8.3 风险告知 </w:t>
      </w:r>
    </w:p>
    <w:p w14:paraId="61254094">
      <w:pPr>
        <w:keepNext w:val="0"/>
        <w:keepLines w:val="0"/>
        <w:widowControl/>
        <w:suppressLineNumbers w:val="0"/>
        <w:ind w:firstLine="420" w:firstLineChars="200"/>
        <w:jc w:val="left"/>
        <w:rPr>
          <w:rFonts w:hint="eastAsia" w:ascii="宋体" w:hAnsi="Times New Roman" w:eastAsia="宋体" w:cs="Times New Roman"/>
          <w:kern w:val="0"/>
          <w:sz w:val="21"/>
          <w:szCs w:val="20"/>
          <w:lang w:val="en-US" w:eastAsia="zh-CN" w:bidi="ar-SA"/>
        </w:rPr>
      </w:pPr>
      <w:r>
        <w:rPr>
          <w:rFonts w:hint="eastAsia" w:ascii="宋体" w:cs="Times New Roman"/>
          <w:kern w:val="0"/>
          <w:sz w:val="21"/>
          <w:szCs w:val="20"/>
          <w:lang w:val="en-US" w:eastAsia="zh-CN" w:bidi="ar-SA"/>
        </w:rPr>
        <w:t>根据公司《</w:t>
      </w:r>
      <w:r>
        <w:rPr>
          <w:rFonts w:hint="eastAsia" w:ascii="宋体" w:hAnsi="Times New Roman" w:eastAsia="宋体" w:cs="Times New Roman"/>
          <w:kern w:val="0"/>
          <w:sz w:val="21"/>
          <w:szCs w:val="20"/>
          <w:lang w:val="en-US" w:eastAsia="zh-CN" w:bidi="ar-SA"/>
        </w:rPr>
        <w:t>安全风险公告制度</w:t>
      </w:r>
      <w:r>
        <w:rPr>
          <w:rFonts w:hint="eastAsia" w:ascii="宋体" w:cs="Times New Roman"/>
          <w:kern w:val="0"/>
          <w:sz w:val="21"/>
          <w:szCs w:val="20"/>
          <w:lang w:val="en-US" w:eastAsia="zh-CN" w:bidi="ar-SA"/>
        </w:rPr>
        <w:t>》相关规定</w:t>
      </w:r>
      <w:r>
        <w:rPr>
          <w:rFonts w:hint="eastAsia" w:ascii="宋体" w:hAnsi="Times New Roman" w:eastAsia="宋体" w:cs="Times New Roman"/>
          <w:kern w:val="0"/>
          <w:sz w:val="21"/>
          <w:szCs w:val="20"/>
          <w:lang w:val="en-US" w:eastAsia="zh-CN" w:bidi="ar-SA"/>
        </w:rPr>
        <w:t>，并通过教育培训、公示公告、警示标牌等方式告知作业人员安全风险相关内容。对存在较大以上风险的场所，应设置较大以上安全风险公示栏（附件</w:t>
      </w:r>
      <w:r>
        <w:rPr>
          <w:rFonts w:hint="default" w:ascii="宋体" w:hAnsi="Times New Roman" w:eastAsia="宋体" w:cs="Times New Roman"/>
          <w:kern w:val="0"/>
          <w:sz w:val="21"/>
          <w:szCs w:val="20"/>
          <w:lang w:val="en-US" w:eastAsia="zh-CN" w:bidi="ar-SA"/>
        </w:rPr>
        <w:t>5</w:t>
      </w:r>
      <w:r>
        <w:rPr>
          <w:rFonts w:hint="eastAsia" w:ascii="宋体" w:hAnsi="Times New Roman" w:eastAsia="宋体" w:cs="Times New Roman"/>
          <w:kern w:val="0"/>
          <w:sz w:val="21"/>
          <w:szCs w:val="20"/>
          <w:lang w:val="en-US" w:eastAsia="zh-CN" w:bidi="ar-SA"/>
        </w:rPr>
        <w:t>）进行公示。对存在重大安全风险的区域应在醒目位置设置安全风险警示牌（附件</w:t>
      </w:r>
      <w:r>
        <w:rPr>
          <w:rFonts w:hint="default" w:ascii="宋体" w:hAnsi="Times New Roman" w:eastAsia="宋体" w:cs="Times New Roman"/>
          <w:kern w:val="0"/>
          <w:sz w:val="21"/>
          <w:szCs w:val="20"/>
          <w:lang w:val="en-US" w:eastAsia="zh-CN" w:bidi="ar-SA"/>
        </w:rPr>
        <w:t>5</w:t>
      </w:r>
      <w:r>
        <w:rPr>
          <w:rFonts w:hint="eastAsia" w:ascii="宋体" w:hAnsi="Times New Roman" w:eastAsia="宋体" w:cs="Times New Roman"/>
          <w:kern w:val="0"/>
          <w:sz w:val="21"/>
          <w:szCs w:val="20"/>
          <w:lang w:val="en-US" w:eastAsia="zh-CN" w:bidi="ar-SA"/>
        </w:rPr>
        <w:t>）。</w:t>
      </w:r>
    </w:p>
    <w:p w14:paraId="401176B6">
      <w:pPr>
        <w:keepNext w:val="0"/>
        <w:keepLines w:val="0"/>
        <w:widowControl/>
        <w:suppressLineNumbers w:val="0"/>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企业重大安全风险、较大安全风险、一般安全风险和低安全风险四个安全风险级别分别对应红、橙、黄、蓝 </w:t>
      </w:r>
      <w:r>
        <w:rPr>
          <w:rFonts w:hint="default" w:ascii="宋体" w:hAnsi="Times New Roman" w:eastAsia="宋体" w:cs="Times New Roman"/>
          <w:kern w:val="0"/>
          <w:sz w:val="21"/>
          <w:szCs w:val="20"/>
          <w:lang w:val="en-US" w:eastAsia="zh-CN" w:bidi="ar-SA"/>
        </w:rPr>
        <w:t xml:space="preserve">4 </w:t>
      </w:r>
      <w:r>
        <w:rPr>
          <w:rFonts w:hint="eastAsia" w:ascii="宋体" w:hAnsi="Times New Roman" w:eastAsia="宋体" w:cs="Times New Roman"/>
          <w:kern w:val="0"/>
          <w:sz w:val="21"/>
          <w:szCs w:val="20"/>
          <w:lang w:val="en-US" w:eastAsia="zh-CN" w:bidi="ar-SA"/>
        </w:rPr>
        <w:t xml:space="preserve">种颜色标示。企业应将各个风险单元的风险等级在厂区和车间平面布置图中用红、橙、黄、蓝 </w:t>
      </w:r>
      <w:r>
        <w:rPr>
          <w:rFonts w:hint="default" w:ascii="宋体" w:hAnsi="Times New Roman" w:eastAsia="宋体" w:cs="Times New Roman"/>
          <w:kern w:val="0"/>
          <w:sz w:val="21"/>
          <w:szCs w:val="20"/>
          <w:lang w:val="en-US" w:eastAsia="zh-CN" w:bidi="ar-SA"/>
        </w:rPr>
        <w:t xml:space="preserve">4 </w:t>
      </w:r>
      <w:r>
        <w:rPr>
          <w:rFonts w:hint="eastAsia" w:ascii="宋体" w:hAnsi="Times New Roman" w:eastAsia="宋体" w:cs="Times New Roman"/>
          <w:kern w:val="0"/>
          <w:sz w:val="21"/>
          <w:szCs w:val="20"/>
          <w:lang w:val="en-US" w:eastAsia="zh-CN" w:bidi="ar-SA"/>
        </w:rPr>
        <w:t xml:space="preserve">种，颜色标示，形成安全风险四色分布图，在厂区醒目位置进行公示。 </w:t>
      </w:r>
      <w:bookmarkEnd w:id="90"/>
      <w:bookmarkEnd w:id="91"/>
      <w:bookmarkEnd w:id="92"/>
      <w:bookmarkEnd w:id="93"/>
      <w:bookmarkStart w:id="94" w:name="_Toc470188652"/>
      <w:bookmarkStart w:id="95" w:name="_Toc464049473"/>
      <w:bookmarkStart w:id="96" w:name="_Toc464048159"/>
      <w:bookmarkStart w:id="97" w:name="_Toc468797570"/>
      <w:bookmarkStart w:id="98" w:name="_Toc472947766"/>
      <w:bookmarkStart w:id="99" w:name="_Toc475021523"/>
      <w:bookmarkStart w:id="100" w:name="_Toc468956178"/>
      <w:bookmarkStart w:id="101" w:name="_Toc472505003"/>
      <w:bookmarkStart w:id="102" w:name="_Toc453934493"/>
      <w:bookmarkStart w:id="103" w:name="_Toc468959294"/>
      <w:bookmarkStart w:id="104" w:name="_Toc29185"/>
    </w:p>
    <w:bookmarkEnd w:id="94"/>
    <w:bookmarkEnd w:id="95"/>
    <w:bookmarkEnd w:id="96"/>
    <w:bookmarkEnd w:id="97"/>
    <w:bookmarkEnd w:id="98"/>
    <w:bookmarkEnd w:id="99"/>
    <w:bookmarkEnd w:id="100"/>
    <w:bookmarkEnd w:id="101"/>
    <w:bookmarkEnd w:id="102"/>
    <w:bookmarkEnd w:id="103"/>
    <w:bookmarkEnd w:id="104"/>
    <w:p w14:paraId="2F440B40">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105" w:name="_Toc468959295"/>
      <w:bookmarkStart w:id="106" w:name="_Toc468797571"/>
      <w:bookmarkStart w:id="107" w:name="_Toc468956179"/>
      <w:bookmarkStart w:id="108" w:name="_Toc470188653"/>
      <w:bookmarkStart w:id="109" w:name="_Toc11912"/>
      <w:bookmarkStart w:id="110" w:name="_Toc472505004"/>
      <w:bookmarkStart w:id="111" w:name="_Toc475021524"/>
      <w:bookmarkStart w:id="112" w:name="_Toc472947767"/>
      <w:r>
        <w:rPr>
          <w:rFonts w:hint="eastAsia"/>
          <w:sz w:val="24"/>
          <w:szCs w:val="24"/>
          <w:lang w:val="en-US" w:eastAsia="zh-CN"/>
        </w:rPr>
        <w:t>四 持续改进</w:t>
      </w:r>
      <w:bookmarkEnd w:id="105"/>
      <w:bookmarkEnd w:id="106"/>
      <w:bookmarkEnd w:id="107"/>
      <w:bookmarkEnd w:id="108"/>
      <w:bookmarkEnd w:id="109"/>
      <w:bookmarkEnd w:id="110"/>
      <w:bookmarkEnd w:id="111"/>
      <w:bookmarkEnd w:id="112"/>
    </w:p>
    <w:p w14:paraId="072332C9">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113" w:name="_Toc470188654"/>
      <w:bookmarkStart w:id="114" w:name="_Toc468956180"/>
      <w:bookmarkStart w:id="115" w:name="_Toc5514"/>
      <w:bookmarkStart w:id="116" w:name="_Toc475021525"/>
      <w:bookmarkStart w:id="117" w:name="_Toc468797572"/>
      <w:bookmarkStart w:id="118" w:name="_Toc472505005"/>
      <w:bookmarkStart w:id="119" w:name="_Toc472947768"/>
      <w:bookmarkStart w:id="120" w:name="_Toc468959296"/>
      <w:r>
        <w:rPr>
          <w:rFonts w:hint="eastAsia"/>
          <w:sz w:val="24"/>
          <w:szCs w:val="24"/>
          <w:lang w:val="en-US" w:eastAsia="zh-CN"/>
        </w:rPr>
        <w:t>4.1 评审</w:t>
      </w:r>
      <w:bookmarkEnd w:id="113"/>
      <w:bookmarkEnd w:id="114"/>
      <w:bookmarkEnd w:id="115"/>
      <w:bookmarkEnd w:id="116"/>
      <w:bookmarkEnd w:id="117"/>
      <w:bookmarkEnd w:id="118"/>
      <w:bookmarkEnd w:id="119"/>
      <w:bookmarkEnd w:id="120"/>
    </w:p>
    <w:p w14:paraId="1C600599">
      <w:pPr>
        <w:pStyle w:val="29"/>
        <w:spacing w:beforeLines="50" w:afterLines="50"/>
      </w:pPr>
      <w:r>
        <w:rPr>
          <w:rFonts w:hint="eastAsia"/>
        </w:rPr>
        <w:t>企业每年至少</w:t>
      </w:r>
      <w:r>
        <w:rPr>
          <w:rFonts w:hint="eastAsia"/>
          <w:lang w:eastAsia="zh-CN"/>
        </w:rPr>
        <w:t>组织进行</w:t>
      </w:r>
      <w:r>
        <w:rPr>
          <w:rFonts w:hint="eastAsia"/>
        </w:rPr>
        <w:t>风险分级管控体系</w:t>
      </w:r>
      <w:r>
        <w:rPr>
          <w:rFonts w:hint="eastAsia"/>
          <w:lang w:eastAsia="zh-CN"/>
        </w:rPr>
        <w:t>的</w:t>
      </w:r>
      <w:r>
        <w:rPr>
          <w:rFonts w:hint="eastAsia"/>
        </w:rPr>
        <w:t>评审或更新，根据非常规作业活动、新增功能性区域、装置或设施等适时开展危险源辨识和风险评价，并在年底与安全标准化自评结合，对体系建设情况进行自评，对风险管控工作进行检查，提出进一步改进、完善风险管控工作机制的措施。</w:t>
      </w:r>
    </w:p>
    <w:p w14:paraId="17E244E8">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121" w:name="_Toc472947769"/>
      <w:bookmarkStart w:id="122" w:name="_Toc468956181"/>
      <w:bookmarkStart w:id="123" w:name="_Toc475021526"/>
      <w:bookmarkStart w:id="124" w:name="_Toc468797573"/>
      <w:bookmarkStart w:id="125" w:name="_Toc464049476"/>
      <w:bookmarkStart w:id="126" w:name="_Toc468959297"/>
      <w:bookmarkStart w:id="127" w:name="_Toc7702"/>
      <w:bookmarkStart w:id="128" w:name="_Toc472505006"/>
      <w:bookmarkStart w:id="129" w:name="_Toc14736"/>
      <w:bookmarkStart w:id="130" w:name="_Toc470188655"/>
      <w:bookmarkStart w:id="131" w:name="_Toc464048162"/>
      <w:r>
        <w:rPr>
          <w:rFonts w:hint="eastAsia"/>
          <w:sz w:val="24"/>
          <w:szCs w:val="24"/>
          <w:lang w:val="en-US" w:eastAsia="zh-CN"/>
        </w:rPr>
        <w:t>4.2 更新</w:t>
      </w:r>
      <w:bookmarkEnd w:id="121"/>
      <w:bookmarkEnd w:id="122"/>
      <w:bookmarkEnd w:id="123"/>
      <w:bookmarkEnd w:id="124"/>
      <w:bookmarkEnd w:id="125"/>
      <w:bookmarkEnd w:id="126"/>
      <w:bookmarkEnd w:id="127"/>
      <w:bookmarkEnd w:id="128"/>
      <w:bookmarkEnd w:id="129"/>
      <w:bookmarkEnd w:id="130"/>
      <w:bookmarkEnd w:id="131"/>
    </w:p>
    <w:p w14:paraId="0FBCB8A0">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132" w:name="_Toc479431242"/>
      <w:bookmarkStart w:id="133" w:name="_Toc468956182"/>
      <w:bookmarkStart w:id="134" w:name="_Toc468797574"/>
      <w:bookmarkStart w:id="135" w:name="_Toc472947770"/>
      <w:bookmarkStart w:id="136" w:name="_Toc468959298"/>
      <w:bookmarkStart w:id="137" w:name="_Toc475021527"/>
      <w:bookmarkStart w:id="138" w:name="_Toc472505007"/>
      <w:bookmarkStart w:id="139" w:name="_Toc470188656"/>
      <w:r>
        <w:rPr>
          <w:rFonts w:hint="eastAsia"/>
          <w:sz w:val="24"/>
          <w:szCs w:val="24"/>
          <w:lang w:val="en-US" w:eastAsia="zh-CN"/>
        </w:rPr>
        <w:t>4.2.1 更新</w:t>
      </w:r>
      <w:bookmarkEnd w:id="132"/>
      <w:r>
        <w:rPr>
          <w:rFonts w:hint="eastAsia"/>
          <w:sz w:val="24"/>
          <w:szCs w:val="24"/>
          <w:lang w:val="en-US" w:eastAsia="zh-CN"/>
        </w:rPr>
        <w:t>与报告</w:t>
      </w:r>
    </w:p>
    <w:p w14:paraId="3225ACD2">
      <w:pPr>
        <w:pStyle w:val="29"/>
        <w:keepNext w:val="0"/>
        <w:keepLines w:val="0"/>
        <w:pageBreakBefore w:val="0"/>
        <w:widowControl/>
        <w:kinsoku/>
        <w:wordWrap/>
        <w:overflowPunct/>
        <w:topLinePunct w:val="0"/>
        <w:bidi w:val="0"/>
        <w:adjustRightInd/>
        <w:snapToGrid/>
        <w:textAlignment w:val="auto"/>
      </w:pPr>
      <w:r>
        <w:rPr>
          <w:rFonts w:hint="eastAsia"/>
          <w:lang w:eastAsia="zh-CN"/>
        </w:rPr>
        <w:t>公司</w:t>
      </w:r>
      <w:r>
        <w:rPr>
          <w:rFonts w:hint="eastAsia"/>
        </w:rPr>
        <w:t>应当于每年第一季度完成安全风险定期报告。企业应主动根据以下情况变化对风险管控的影响，及时针对变化范围开展风险分析，更新风险信息</w:t>
      </w:r>
      <w:r>
        <w:t>:</w:t>
      </w:r>
    </w:p>
    <w:p w14:paraId="1C20D433">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（一）有新的较大以上安全风险的；</w:t>
      </w:r>
    </w:p>
    <w:p w14:paraId="609CA2E6">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（二）原报告的较大以上安全风险等级发生变化的。</w:t>
      </w:r>
    </w:p>
    <w:p w14:paraId="1AA76DA3">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（三）企业名称、主要负责人等基本信息发生变化的</w:t>
      </w:r>
    </w:p>
    <w:p w14:paraId="687BC529">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（一）生产工艺流程、主要设备设施、主要生产物料发生改变的；</w:t>
      </w:r>
    </w:p>
    <w:p w14:paraId="2FD188F9">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（二）有新建、改建、扩建项目的；</w:t>
      </w:r>
    </w:p>
    <w:p w14:paraId="04C15A08">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（三）行业领域内发生较大以上生产安全事故或者典型生产安全事故，对安全风险有新认知的；</w:t>
      </w:r>
    </w:p>
    <w:p w14:paraId="4C268144">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（四）本企业发生生产安全事故的；</w:t>
      </w:r>
    </w:p>
    <w:p w14:paraId="26E8AD33">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（五）安全风险目录修订调整涉及本企业的；</w:t>
      </w:r>
    </w:p>
    <w:p w14:paraId="1E1CF364">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（六）法律、法规、规章和国家标准、行业标准、地方标准对安全风险辨识管控有新要求的。</w:t>
      </w:r>
    </w:p>
    <w:p w14:paraId="4153DA09">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有下列情形之一的，应当在确定或者调整安全风险等级后十五日内进行变更报告：</w:t>
      </w:r>
    </w:p>
    <w:p w14:paraId="3ED9A5EE">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（一）有新的较大以上安全风险的；</w:t>
      </w:r>
    </w:p>
    <w:p w14:paraId="7F5633F0">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（二）原报告的较大以上安全风险等级发生变化的。</w:t>
      </w:r>
    </w:p>
    <w:p w14:paraId="5984B4F0">
      <w:pPr>
        <w:pStyle w:val="29"/>
        <w:keepNext w:val="0"/>
        <w:keepLines w:val="0"/>
        <w:pageBreakBefore w:val="0"/>
        <w:widowControl/>
        <w:kinsoku/>
        <w:wordWrap/>
        <w:overflowPunct/>
        <w:topLinePunct w:val="0"/>
        <w:bidi w:val="0"/>
        <w:adjustRightInd/>
        <w:snapToGrid/>
        <w:textAlignment w:val="auto"/>
        <w:rPr>
          <w:rFonts w:hint="eastAsia"/>
        </w:rPr>
      </w:pPr>
      <w:r>
        <w:rPr>
          <w:rFonts w:hint="eastAsia"/>
        </w:rPr>
        <w:t>（三）企业名称、主要负责人等基本信息发生变化的</w:t>
      </w:r>
    </w:p>
    <w:p w14:paraId="55AC9A45">
      <w:pPr>
        <w:pStyle w:val="4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Chars="0"/>
        <w:textAlignment w:val="auto"/>
        <w:outlineLvl w:val="1"/>
        <w:rPr>
          <w:rFonts w:hint="eastAsia"/>
          <w:sz w:val="24"/>
          <w:szCs w:val="24"/>
          <w:lang w:val="en-US" w:eastAsia="zh-CN"/>
        </w:rPr>
      </w:pPr>
      <w:bookmarkStart w:id="140" w:name="_Toc479431243"/>
      <w:r>
        <w:rPr>
          <w:rFonts w:hint="eastAsia"/>
          <w:sz w:val="24"/>
          <w:szCs w:val="24"/>
          <w:lang w:val="en-US" w:eastAsia="zh-CN"/>
        </w:rPr>
        <w:t>4.2.2 更新要求</w:t>
      </w:r>
      <w:bookmarkEnd w:id="140"/>
    </w:p>
    <w:p w14:paraId="0B5C7106">
      <w:pPr>
        <w:pStyle w:val="29"/>
        <w:spacing w:beforeLines="50" w:afterLines="50"/>
      </w:pPr>
      <w:r>
        <w:rPr>
          <w:rFonts w:hint="eastAsia"/>
        </w:rPr>
        <w:t>（1）</w:t>
      </w:r>
      <w:r>
        <w:rPr>
          <w:rFonts w:hint="eastAsia"/>
          <w:color w:val="0000FF"/>
          <w:lang w:val="en-US" w:eastAsia="zh-CN"/>
        </w:rPr>
        <w:t>XXX部门</w:t>
      </w:r>
      <w:r>
        <w:rPr>
          <w:rFonts w:hint="eastAsia"/>
        </w:rPr>
        <w:t>可以根据实际情况，每年组织各车间、部门全面评审企业危险源和控制措施，适时调整和补充。</w:t>
      </w:r>
    </w:p>
    <w:p w14:paraId="29AAAD6F">
      <w:pPr>
        <w:pStyle w:val="29"/>
        <w:spacing w:beforeLines="50" w:afterLines="50"/>
      </w:pPr>
      <w:r>
        <w:rPr>
          <w:rFonts w:hint="eastAsia"/>
        </w:rPr>
        <w:t>（2）</w:t>
      </w:r>
      <w:r>
        <w:rPr>
          <w:rFonts w:hint="eastAsia"/>
          <w:color w:val="0000FF"/>
        </w:rPr>
        <w:t>设计和开发的产品或项目由技术部或项目负责人</w:t>
      </w:r>
      <w:r>
        <w:rPr>
          <w:rFonts w:hint="eastAsia"/>
        </w:rPr>
        <w:t>组织对危险源辨识、风险评价和风险控制进行策划，策划结果纳入相应的计划或方案中组织实施。</w:t>
      </w:r>
    </w:p>
    <w:p w14:paraId="281D045E">
      <w:pPr>
        <w:pStyle w:val="29"/>
        <w:spacing w:beforeLines="50" w:afterLines="50"/>
      </w:pPr>
      <w:r>
        <w:rPr>
          <w:rFonts w:hint="eastAsia"/>
        </w:rPr>
        <w:t>（3）危险源辨识、风险评价和风险控制措施的更新内容，应经企业生产副总或总经理批准。</w:t>
      </w:r>
    </w:p>
    <w:bookmarkEnd w:id="133"/>
    <w:bookmarkEnd w:id="134"/>
    <w:bookmarkEnd w:id="135"/>
    <w:bookmarkEnd w:id="136"/>
    <w:bookmarkEnd w:id="137"/>
    <w:bookmarkEnd w:id="138"/>
    <w:bookmarkEnd w:id="139"/>
    <w:p w14:paraId="76EEF965">
      <w:pPr>
        <w:pStyle w:val="29"/>
        <w:spacing w:beforeLines="50" w:afterLines="50"/>
        <w:rPr>
          <w:rFonts w:hint="eastAsia"/>
        </w:rPr>
      </w:pPr>
    </w:p>
    <w:p w14:paraId="3A6C6270">
      <w:pPr>
        <w:pStyle w:val="29"/>
        <w:spacing w:beforeLines="50" w:afterLines="50"/>
        <w:rPr>
          <w:rFonts w:hint="eastAsia"/>
        </w:rPr>
      </w:pPr>
    </w:p>
    <w:p w14:paraId="7428C8A7">
      <w:pPr>
        <w:pStyle w:val="29"/>
        <w:spacing w:beforeLines="50" w:afterLines="50"/>
        <w:rPr>
          <w:rFonts w:hint="eastAsia"/>
        </w:rPr>
      </w:pPr>
    </w:p>
    <w:p w14:paraId="0DC09B7E">
      <w:pPr>
        <w:pStyle w:val="29"/>
        <w:spacing w:beforeLines="50" w:afterLines="50"/>
        <w:ind w:left="0" w:leftChars="0" w:firstLine="0" w:firstLineChars="0"/>
        <w:rPr>
          <w:rFonts w:hint="eastAsia"/>
        </w:rPr>
      </w:pPr>
    </w:p>
    <w:p w14:paraId="5BF237DD">
      <w:pPr>
        <w:pStyle w:val="154"/>
        <w:snapToGrid w:val="0"/>
        <w:ind w:firstLine="0" w:firstLineChars="0"/>
        <w:rPr>
          <w:rFonts w:ascii="宋体" w:eastAsia="宋体"/>
          <w:sz w:val="21"/>
          <w:szCs w:val="21"/>
        </w:rPr>
      </w:pPr>
    </w:p>
    <w:p w14:paraId="2C26B5EA">
      <w:pPr>
        <w:pStyle w:val="29"/>
        <w:rPr>
          <w:rFonts w:hAnsi="宋体"/>
          <w:sz w:val="21"/>
          <w:szCs w:val="21"/>
        </w:rPr>
      </w:pPr>
      <w:r>
        <w:rPr>
          <w:rFonts w:hint="eastAsia" w:hAnsi="宋体"/>
          <w:sz w:val="21"/>
          <w:szCs w:val="21"/>
        </w:rPr>
        <w:t xml:space="preserve"> </w:t>
      </w:r>
    </w:p>
    <w:p w14:paraId="547D6D57">
      <w:pPr>
        <w:pStyle w:val="29"/>
        <w:rPr>
          <w:rFonts w:hAnsi="宋体"/>
          <w:sz w:val="21"/>
          <w:szCs w:val="21"/>
        </w:rPr>
      </w:pPr>
      <w:r>
        <w:rPr>
          <w:rFonts w:hint="eastAsia" w:hAnsi="宋体"/>
          <w:sz w:val="21"/>
          <w:szCs w:val="21"/>
        </w:rPr>
        <w:t xml:space="preserve"> </w:t>
      </w:r>
    </w:p>
    <w:p w14:paraId="6BFBCC43">
      <w:pPr>
        <w:widowControl/>
        <w:rPr>
          <w:rFonts w:ascii="宋体" w:hAnsi="宋体"/>
          <w:bCs/>
        </w:rPr>
      </w:pPr>
      <w:r>
        <w:rPr>
          <w:rFonts w:ascii="宋体" w:hAnsi="宋体"/>
        </w:rPr>
        <w:br w:type="page"/>
      </w:r>
    </w:p>
    <w:p w14:paraId="503EC2A7">
      <w:pPr>
        <w:pStyle w:val="2"/>
        <w:spacing w:before="156" w:after="156"/>
        <w:rPr>
          <w:rFonts w:hint="eastAsia" w:ascii="黑体" w:hAnsi="黑体" w:eastAsia="黑体"/>
          <w:sz w:val="21"/>
          <w:szCs w:val="21"/>
          <w:lang w:eastAsia="zh-CN"/>
        </w:rPr>
      </w:pPr>
      <w:bookmarkStart w:id="141" w:name="_Toc485492436"/>
      <w:r>
        <w:rPr>
          <w:rFonts w:hint="eastAsia" w:ascii="黑体" w:hAnsi="黑体"/>
          <w:sz w:val="21"/>
          <w:szCs w:val="21"/>
        </w:rPr>
        <w:t>附录</w:t>
      </w:r>
      <w:bookmarkEnd w:id="141"/>
      <w:r>
        <w:rPr>
          <w:rFonts w:hint="eastAsia" w:ascii="黑体" w:hAnsi="黑体"/>
          <w:sz w:val="21"/>
          <w:szCs w:val="21"/>
          <w:lang w:val="en-US" w:eastAsia="zh-CN"/>
        </w:rPr>
        <w:t>A</w:t>
      </w:r>
    </w:p>
    <w:p w14:paraId="47DD8D32">
      <w:pPr>
        <w:pStyle w:val="29"/>
        <w:ind w:firstLine="0" w:firstLineChars="0"/>
        <w:jc w:val="center"/>
        <w:rPr>
          <w:rFonts w:ascii="黑体" w:hAnsi="黑体" w:eastAsia="黑体"/>
          <w:bCs/>
          <w:sz w:val="21"/>
          <w:szCs w:val="21"/>
        </w:rPr>
      </w:pPr>
      <w:r>
        <w:rPr>
          <w:rFonts w:hint="eastAsia" w:ascii="黑体" w:hAnsi="黑体" w:eastAsia="黑体"/>
          <w:bCs/>
          <w:sz w:val="21"/>
          <w:szCs w:val="21"/>
        </w:rPr>
        <w:t>工作危害分析法（JHA）</w:t>
      </w:r>
    </w:p>
    <w:p w14:paraId="63985F72">
      <w:pPr>
        <w:pStyle w:val="29"/>
        <w:ind w:firstLine="0" w:firstLineChars="0"/>
        <w:rPr>
          <w:rFonts w:ascii="黑体" w:hAnsi="黑体" w:eastAsia="黑体"/>
          <w:bCs/>
          <w:sz w:val="21"/>
          <w:szCs w:val="21"/>
        </w:rPr>
      </w:pPr>
      <w:r>
        <w:rPr>
          <w:rFonts w:hint="eastAsia" w:ascii="黑体" w:hAnsi="黑体" w:eastAsia="黑体"/>
          <w:bCs/>
          <w:sz w:val="21"/>
          <w:szCs w:val="21"/>
          <w:lang w:val="en-US" w:eastAsia="zh-CN"/>
        </w:rPr>
        <w:t>A</w:t>
      </w:r>
      <w:r>
        <w:rPr>
          <w:rFonts w:hint="eastAsia" w:ascii="黑体" w:hAnsi="黑体" w:eastAsia="黑体"/>
          <w:bCs/>
          <w:sz w:val="21"/>
          <w:szCs w:val="21"/>
        </w:rPr>
        <w:t>.1方法概述</w:t>
      </w:r>
    </w:p>
    <w:p w14:paraId="349CE0B8">
      <w:pPr>
        <w:pStyle w:val="29"/>
        <w:rPr>
          <w:rFonts w:hAnsi="宋体"/>
          <w:sz w:val="21"/>
          <w:szCs w:val="21"/>
        </w:rPr>
      </w:pPr>
      <w:r>
        <w:rPr>
          <w:rFonts w:hint="eastAsia" w:hAnsi="宋体"/>
          <w:sz w:val="21"/>
          <w:szCs w:val="21"/>
        </w:rPr>
        <w:t>通过对工作过程的逐步分析，找出具有危险的工作步骤，进行控制和预防，是辨识危害因素及其风险的方法之一。适合于对作业活动中存在的风险进行分析。包括作业活动划分、选定、危险源辨识等步骤。</w:t>
      </w:r>
    </w:p>
    <w:p w14:paraId="20E71427">
      <w:pPr>
        <w:pStyle w:val="29"/>
        <w:ind w:firstLine="0" w:firstLineChars="0"/>
        <w:rPr>
          <w:rFonts w:ascii="黑体" w:hAnsi="黑体" w:eastAsia="黑体"/>
          <w:bCs/>
          <w:sz w:val="21"/>
          <w:szCs w:val="21"/>
        </w:rPr>
      </w:pPr>
      <w:r>
        <w:rPr>
          <w:rFonts w:hint="eastAsia" w:ascii="黑体" w:hAnsi="黑体" w:eastAsia="黑体"/>
          <w:bCs/>
          <w:sz w:val="21"/>
          <w:szCs w:val="21"/>
          <w:lang w:val="en-US" w:eastAsia="zh-CN"/>
        </w:rPr>
        <w:t>A</w:t>
      </w:r>
      <w:r>
        <w:rPr>
          <w:rFonts w:hint="eastAsia" w:ascii="黑体" w:hAnsi="黑体" w:eastAsia="黑体"/>
          <w:bCs/>
          <w:sz w:val="21"/>
          <w:szCs w:val="21"/>
        </w:rPr>
        <w:t>.2作业活动划分（以道路运输的客运企业、港口营运企业为实例）</w:t>
      </w:r>
    </w:p>
    <w:p w14:paraId="441815F1">
      <w:pPr>
        <w:pStyle w:val="29"/>
        <w:ind w:firstLine="0" w:firstLineChars="0"/>
        <w:rPr>
          <w:rFonts w:ascii="黑体" w:hAnsi="黑体" w:eastAsia="黑体"/>
          <w:bCs/>
          <w:sz w:val="21"/>
          <w:szCs w:val="21"/>
        </w:rPr>
      </w:pPr>
      <w:r>
        <w:rPr>
          <w:rFonts w:hint="eastAsia" w:ascii="黑体" w:hAnsi="黑体" w:eastAsia="黑体"/>
          <w:bCs/>
          <w:sz w:val="21"/>
          <w:szCs w:val="21"/>
        </w:rPr>
        <w:t>实例一：客运企业作业活动划分</w:t>
      </w:r>
    </w:p>
    <w:p w14:paraId="4CF5C864">
      <w:pPr>
        <w:pStyle w:val="154"/>
        <w:ind w:firstLine="420"/>
        <w:rPr>
          <w:rFonts w:ascii="宋体" w:eastAsia="宋体"/>
          <w:sz w:val="21"/>
          <w:szCs w:val="21"/>
        </w:rPr>
      </w:pPr>
      <w:r>
        <w:rPr>
          <w:rFonts w:hint="eastAsia" w:ascii="宋体" w:eastAsia="宋体"/>
          <w:sz w:val="21"/>
          <w:szCs w:val="21"/>
        </w:rPr>
        <w:t>按生产流程、区域位置、设备、作业任务、生产阶段／服务阶段或部门划分。包括但不限于：</w:t>
      </w:r>
    </w:p>
    <w:p w14:paraId="2B9C04B0">
      <w:pPr>
        <w:pStyle w:val="29"/>
        <w:ind w:firstLine="0" w:firstLineChars="0"/>
        <w:rPr>
          <w:rFonts w:hAnsi="宋体"/>
          <w:b/>
          <w:bCs/>
          <w:sz w:val="21"/>
          <w:szCs w:val="21"/>
        </w:rPr>
      </w:pPr>
      <w:r>
        <w:rPr>
          <w:rFonts w:hint="eastAsia" w:hAnsi="宋体"/>
          <w:b/>
          <w:bCs/>
          <w:sz w:val="21"/>
          <w:szCs w:val="21"/>
        </w:rPr>
        <w:t xml:space="preserve">    </w:t>
      </w:r>
      <w:r>
        <w:rPr>
          <w:rFonts w:hint="eastAsia" w:hAnsi="宋体"/>
          <w:sz w:val="21"/>
          <w:szCs w:val="21"/>
        </w:rPr>
        <w:t>——常规作业活动：车辆调度作业、车辆驾驶作业、车辆检测作业、</w:t>
      </w:r>
      <w:r>
        <w:rPr>
          <w:rFonts w:hint="eastAsia" w:hAnsi="宋体" w:cs="仿宋_GB2312"/>
          <w:sz w:val="21"/>
          <w:szCs w:val="21"/>
        </w:rPr>
        <w:t>运输设施设备保养维护作业</w:t>
      </w:r>
    </w:p>
    <w:p w14:paraId="17285EFE">
      <w:pPr>
        <w:pStyle w:val="29"/>
        <w:ind w:firstLine="0" w:firstLineChars="0"/>
        <w:rPr>
          <w:rFonts w:hAnsi="宋体" w:cs="仿宋_GB2312"/>
          <w:sz w:val="21"/>
          <w:szCs w:val="21"/>
        </w:rPr>
      </w:pPr>
      <w:r>
        <w:rPr>
          <w:rFonts w:hint="eastAsia" w:hAnsi="宋体"/>
          <w:sz w:val="21"/>
          <w:szCs w:val="21"/>
        </w:rPr>
        <w:t>动态监控、</w:t>
      </w:r>
      <w:r>
        <w:rPr>
          <w:rFonts w:hint="eastAsia" w:hAnsi="宋体" w:cs="仿宋_GB2312"/>
          <w:sz w:val="21"/>
          <w:szCs w:val="21"/>
        </w:rPr>
        <w:t>现场监督检查等；</w:t>
      </w:r>
    </w:p>
    <w:p w14:paraId="6EB146BD">
      <w:pPr>
        <w:pStyle w:val="29"/>
        <w:ind w:firstLine="0" w:firstLineChars="0"/>
        <w:rPr>
          <w:rFonts w:hAnsi="宋体" w:cs="仿宋_GB2312"/>
          <w:sz w:val="21"/>
          <w:szCs w:val="21"/>
        </w:rPr>
      </w:pPr>
      <w:r>
        <w:rPr>
          <w:rFonts w:hint="eastAsia" w:hAnsi="宋体"/>
          <w:b/>
          <w:bCs/>
          <w:sz w:val="21"/>
          <w:szCs w:val="21"/>
        </w:rPr>
        <w:t xml:space="preserve">    </w:t>
      </w:r>
      <w:r>
        <w:rPr>
          <w:rFonts w:hint="eastAsia" w:hAnsi="宋体"/>
          <w:sz w:val="21"/>
          <w:szCs w:val="21"/>
        </w:rPr>
        <w:t>——</w:t>
      </w:r>
      <w:r>
        <w:rPr>
          <w:rFonts w:hint="eastAsia" w:hAnsi="宋体" w:cs="仿宋_GB2312"/>
          <w:sz w:val="21"/>
          <w:szCs w:val="21"/>
        </w:rPr>
        <w:t>非常规作业活动：重要时段（节假日、重大活动期间）、恶劣天气、危险路段、设备设施故障、道路施工、应急演练等；</w:t>
      </w:r>
    </w:p>
    <w:p w14:paraId="130E7BDE">
      <w:pPr>
        <w:pStyle w:val="29"/>
        <w:ind w:firstLine="0" w:firstLineChars="0"/>
        <w:rPr>
          <w:rFonts w:hAnsi="宋体" w:cs="仿宋_GB2312"/>
          <w:sz w:val="21"/>
          <w:szCs w:val="21"/>
        </w:rPr>
      </w:pPr>
      <w:r>
        <w:rPr>
          <w:rFonts w:hint="eastAsia" w:hAnsi="宋体"/>
          <w:sz w:val="21"/>
          <w:szCs w:val="21"/>
        </w:rPr>
        <w:t>——按岗位工作任务和作业流程划分作业活动，填入《作业活动清单》（见附录A1）</w:t>
      </w:r>
    </w:p>
    <w:p w14:paraId="1C44F23A">
      <w:pPr>
        <w:pStyle w:val="29"/>
        <w:ind w:firstLine="0" w:firstLineChars="0"/>
        <w:rPr>
          <w:rFonts w:ascii="黑体" w:hAnsi="黑体" w:eastAsia="黑体"/>
          <w:sz w:val="21"/>
          <w:szCs w:val="21"/>
        </w:rPr>
      </w:pPr>
      <w:r>
        <w:rPr>
          <w:rFonts w:hint="eastAsia" w:ascii="黑体" w:hAnsi="黑体" w:eastAsia="黑体"/>
          <w:bCs/>
          <w:sz w:val="21"/>
          <w:szCs w:val="21"/>
        </w:rPr>
        <w:t>实例二：港口营运企业作业活动划分</w:t>
      </w:r>
    </w:p>
    <w:p w14:paraId="5713B574">
      <w:pPr>
        <w:pStyle w:val="154"/>
        <w:ind w:firstLine="420"/>
        <w:rPr>
          <w:rFonts w:ascii="宋体" w:eastAsia="宋体"/>
          <w:sz w:val="21"/>
          <w:szCs w:val="21"/>
        </w:rPr>
      </w:pPr>
      <w:r>
        <w:rPr>
          <w:rFonts w:hint="eastAsia" w:ascii="宋体" w:eastAsia="宋体"/>
          <w:sz w:val="21"/>
          <w:szCs w:val="21"/>
        </w:rPr>
        <w:t>按生产流程、区域位置、装置、作业任务、生产阶段／服务阶段或部门划分。包括但不限于：</w:t>
      </w:r>
    </w:p>
    <w:p w14:paraId="6541ACB7">
      <w:pPr>
        <w:ind w:firstLine="420" w:firstLineChars="200"/>
        <w:rPr>
          <w:rFonts w:ascii="宋体" w:hAnsi="宋体"/>
        </w:rPr>
      </w:pPr>
      <w:r>
        <w:rPr>
          <w:rFonts w:hint="eastAsia" w:ascii="宋体" w:hAnsi="宋体"/>
        </w:rPr>
        <w:t>——常规作业活动：</w:t>
      </w:r>
      <w:r>
        <w:rPr>
          <w:rFonts w:hint="eastAsia" w:ascii="宋体" w:hAnsi="宋体" w:cs="仿宋_GB2312"/>
        </w:rPr>
        <w:t>船舶靠离港、装卸船作业、吊装作业、货场作业、设备设施维保、现场巡检、场地清理及绿化保洁、现场监督检查；</w:t>
      </w:r>
    </w:p>
    <w:p w14:paraId="18BB05EA">
      <w:pPr>
        <w:ind w:firstLine="420" w:firstLineChars="200"/>
        <w:rPr>
          <w:rFonts w:ascii="宋体" w:hAnsi="宋体"/>
        </w:rPr>
      </w:pPr>
      <w:r>
        <w:rPr>
          <w:rFonts w:hint="eastAsia" w:ascii="宋体" w:hAnsi="宋体"/>
        </w:rPr>
        <w:t>——非常规作业活动：新货种装卸船作业、动火作业、有限空间、高处作业、临时用电、盲板抽堵、断路作业、特殊吊装、应急演练、停电、恶劣天气、设备故障处理等；</w:t>
      </w:r>
    </w:p>
    <w:p w14:paraId="38671F85">
      <w:pPr>
        <w:pStyle w:val="29"/>
        <w:ind w:firstLine="0" w:firstLineChars="0"/>
        <w:rPr>
          <w:rFonts w:hAnsi="宋体"/>
          <w:sz w:val="21"/>
          <w:szCs w:val="21"/>
        </w:rPr>
      </w:pPr>
      <w:r>
        <w:rPr>
          <w:rFonts w:hint="eastAsia" w:hAnsi="宋体"/>
          <w:sz w:val="21"/>
          <w:szCs w:val="21"/>
        </w:rPr>
        <w:t>——按岗位工作任务和作业流程划分作业活动，填入《作业活动清单》（见附录A1）。</w:t>
      </w:r>
    </w:p>
    <w:p w14:paraId="75728867">
      <w:pPr>
        <w:pStyle w:val="29"/>
        <w:ind w:firstLine="0" w:firstLineChars="0"/>
        <w:rPr>
          <w:rFonts w:ascii="黑体" w:hAnsi="黑体" w:eastAsia="黑体"/>
          <w:bCs/>
          <w:sz w:val="21"/>
          <w:szCs w:val="21"/>
        </w:rPr>
      </w:pPr>
      <w:r>
        <w:rPr>
          <w:rFonts w:hint="eastAsia" w:ascii="黑体" w:hAnsi="黑体" w:eastAsia="黑体"/>
          <w:bCs/>
          <w:sz w:val="21"/>
          <w:szCs w:val="21"/>
          <w:lang w:val="en-US" w:eastAsia="zh-CN"/>
        </w:rPr>
        <w:t>A</w:t>
      </w:r>
      <w:r>
        <w:rPr>
          <w:rFonts w:hint="eastAsia" w:ascii="黑体" w:hAnsi="黑体" w:eastAsia="黑体"/>
          <w:bCs/>
          <w:sz w:val="21"/>
          <w:szCs w:val="21"/>
        </w:rPr>
        <w:t>.3工作危害分析（JHA）评价步骤</w:t>
      </w:r>
    </w:p>
    <w:p w14:paraId="680B8E96">
      <w:pPr>
        <w:pStyle w:val="59"/>
        <w:numPr>
          <w:ilvl w:val="0"/>
          <w:numId w:val="23"/>
        </w:numPr>
        <w:ind w:left="0" w:firstLine="567"/>
        <w:jc w:val="both"/>
        <w:rPr>
          <w:rFonts w:hAnsi="宋体"/>
        </w:rPr>
      </w:pPr>
      <w:r>
        <w:rPr>
          <w:rFonts w:hint="eastAsia" w:hAnsi="宋体"/>
        </w:rPr>
        <w:t>将《作业活动清单》中的每项活动分解为若干个相连的工作步骤。</w:t>
      </w:r>
    </w:p>
    <w:p w14:paraId="10FC6749">
      <w:pPr>
        <w:pStyle w:val="59"/>
        <w:numPr>
          <w:ilvl w:val="0"/>
          <w:numId w:val="23"/>
        </w:numPr>
        <w:ind w:left="0" w:firstLine="567"/>
        <w:jc w:val="both"/>
        <w:rPr>
          <w:rFonts w:hAnsi="宋体"/>
        </w:rPr>
      </w:pPr>
      <w:r>
        <w:rPr>
          <w:rFonts w:hint="eastAsia" w:hAnsi="宋体"/>
        </w:rPr>
        <w:t>根据GB/T 13861的规定，辨识每一步骤的危险源及潜在事件。</w:t>
      </w:r>
    </w:p>
    <w:p w14:paraId="3D610AB3">
      <w:pPr>
        <w:pStyle w:val="59"/>
        <w:numPr>
          <w:ilvl w:val="0"/>
          <w:numId w:val="23"/>
        </w:numPr>
        <w:ind w:left="0" w:firstLine="567"/>
        <w:jc w:val="both"/>
        <w:rPr>
          <w:rFonts w:hAnsi="宋体"/>
        </w:rPr>
      </w:pPr>
      <w:r>
        <w:rPr>
          <w:rFonts w:hint="eastAsia" w:hAnsi="宋体"/>
        </w:rPr>
        <w:t>根据GB 6441规定，分析造成的后果。</w:t>
      </w:r>
    </w:p>
    <w:p w14:paraId="45C98C80">
      <w:pPr>
        <w:pStyle w:val="59"/>
        <w:numPr>
          <w:ilvl w:val="0"/>
          <w:numId w:val="23"/>
        </w:numPr>
        <w:ind w:left="0" w:firstLine="567"/>
        <w:jc w:val="both"/>
        <w:rPr>
          <w:rFonts w:hAnsi="宋体"/>
        </w:rPr>
      </w:pPr>
      <w:r>
        <w:rPr>
          <w:rFonts w:hint="eastAsia" w:hAnsi="宋体"/>
        </w:rPr>
        <w:t>识别现有控制措施。从工程控制、管理措施、培训教育、个体防护、应急处置等方面评估现有控制措施的有效性。</w:t>
      </w:r>
    </w:p>
    <w:p w14:paraId="2E0711B4">
      <w:pPr>
        <w:pStyle w:val="59"/>
        <w:numPr>
          <w:ilvl w:val="0"/>
          <w:numId w:val="23"/>
        </w:numPr>
        <w:ind w:left="0" w:firstLine="567"/>
        <w:jc w:val="both"/>
        <w:rPr>
          <w:rFonts w:hAnsi="宋体"/>
        </w:rPr>
      </w:pPr>
      <w:r>
        <w:rPr>
          <w:rFonts w:hint="eastAsia" w:hAnsi="宋体"/>
        </w:rPr>
        <w:t>根据风险判定准则评估风险，判定等级。</w:t>
      </w:r>
    </w:p>
    <w:p w14:paraId="6C5F87A1">
      <w:pPr>
        <w:pStyle w:val="59"/>
        <w:numPr>
          <w:ilvl w:val="0"/>
          <w:numId w:val="23"/>
        </w:numPr>
        <w:ind w:left="0" w:firstLine="567"/>
        <w:jc w:val="both"/>
        <w:rPr>
          <w:rFonts w:hAnsi="宋体"/>
        </w:rPr>
      </w:pPr>
      <w:r>
        <w:rPr>
          <w:rFonts w:hint="eastAsia" w:hAnsi="宋体"/>
        </w:rPr>
        <w:t>将分析结果，填入《工作危害分析（JHA）评价记录》（见附录A3）中。</w:t>
      </w:r>
    </w:p>
    <w:p w14:paraId="6A4B2C1B">
      <w:pPr>
        <w:pStyle w:val="95"/>
        <w:numPr>
          <w:ilvl w:val="1"/>
          <w:numId w:val="0"/>
        </w:numPr>
        <w:spacing w:before="156" w:after="156"/>
        <w:ind w:left="4395" w:leftChars="0"/>
        <w:jc w:val="both"/>
        <w:rPr>
          <w:rFonts w:ascii="黑体" w:hAnsi="黑体"/>
          <w:sz w:val="21"/>
          <w:szCs w:val="21"/>
        </w:rPr>
      </w:pPr>
      <w:bookmarkStart w:id="142" w:name="_Toc485492437"/>
    </w:p>
    <w:p w14:paraId="09BBF392">
      <w:pPr>
        <w:pStyle w:val="2"/>
        <w:spacing w:before="156" w:after="156"/>
        <w:rPr>
          <w:rFonts w:hint="eastAsia" w:ascii="黑体" w:hAnsi="黑体" w:eastAsia="黑体"/>
          <w:sz w:val="21"/>
          <w:szCs w:val="21"/>
          <w:lang w:eastAsia="zh-CN"/>
        </w:rPr>
      </w:pPr>
      <w:r>
        <w:rPr>
          <w:rFonts w:hint="eastAsia" w:ascii="黑体" w:hAnsi="黑体"/>
          <w:sz w:val="21"/>
          <w:szCs w:val="21"/>
        </w:rPr>
        <w:t>附录</w:t>
      </w:r>
      <w:bookmarkEnd w:id="142"/>
      <w:r>
        <w:rPr>
          <w:rFonts w:hint="eastAsia" w:ascii="黑体" w:hAnsi="黑体"/>
          <w:sz w:val="21"/>
          <w:szCs w:val="21"/>
          <w:lang w:val="en-US" w:eastAsia="zh-CN"/>
        </w:rPr>
        <w:t>B</w:t>
      </w:r>
    </w:p>
    <w:p w14:paraId="38106EB5">
      <w:pPr>
        <w:pStyle w:val="29"/>
        <w:ind w:firstLine="0" w:firstLineChars="0"/>
        <w:jc w:val="center"/>
        <w:rPr>
          <w:rFonts w:ascii="黑体" w:hAnsi="黑体" w:eastAsia="黑体"/>
          <w:bCs/>
          <w:sz w:val="21"/>
          <w:szCs w:val="21"/>
        </w:rPr>
      </w:pPr>
      <w:r>
        <w:rPr>
          <w:rFonts w:hint="eastAsia" w:ascii="黑体" w:hAnsi="黑体" w:eastAsia="黑体"/>
          <w:bCs/>
          <w:sz w:val="21"/>
          <w:szCs w:val="21"/>
        </w:rPr>
        <w:t>(资料性附录)</w:t>
      </w:r>
    </w:p>
    <w:p w14:paraId="5FC1CCE2">
      <w:pPr>
        <w:pStyle w:val="29"/>
        <w:ind w:firstLine="0" w:firstLineChars="0"/>
        <w:jc w:val="center"/>
        <w:rPr>
          <w:rFonts w:ascii="黑体" w:hAnsi="黑体" w:eastAsia="黑体"/>
          <w:bCs/>
          <w:sz w:val="21"/>
          <w:szCs w:val="21"/>
        </w:rPr>
      </w:pPr>
      <w:r>
        <w:rPr>
          <w:rFonts w:hint="eastAsia" w:ascii="黑体" w:hAnsi="黑体" w:eastAsia="黑体"/>
          <w:bCs/>
          <w:sz w:val="21"/>
          <w:szCs w:val="21"/>
        </w:rPr>
        <w:t>安全检查表法（SCL）</w:t>
      </w:r>
    </w:p>
    <w:p w14:paraId="62EE212E">
      <w:pPr>
        <w:pStyle w:val="29"/>
        <w:ind w:firstLine="0" w:firstLineChars="0"/>
        <w:rPr>
          <w:rFonts w:ascii="黑体" w:hAnsi="黑体" w:eastAsia="黑体"/>
          <w:bCs/>
          <w:sz w:val="21"/>
          <w:szCs w:val="21"/>
        </w:rPr>
      </w:pPr>
      <w:r>
        <w:rPr>
          <w:rFonts w:hint="eastAsia" w:ascii="黑体" w:hAnsi="黑体" w:eastAsia="黑体"/>
          <w:bCs/>
          <w:sz w:val="21"/>
          <w:szCs w:val="21"/>
          <w:lang w:val="en-US" w:eastAsia="zh-CN"/>
        </w:rPr>
        <w:t>B</w:t>
      </w:r>
      <w:r>
        <w:rPr>
          <w:rFonts w:hint="eastAsia" w:ascii="黑体" w:hAnsi="黑体" w:eastAsia="黑体"/>
          <w:bCs/>
          <w:sz w:val="21"/>
          <w:szCs w:val="21"/>
        </w:rPr>
        <w:t>.1方法概述</w:t>
      </w:r>
    </w:p>
    <w:p w14:paraId="3FACB12A">
      <w:pPr>
        <w:pStyle w:val="29"/>
        <w:rPr>
          <w:rFonts w:hAnsi="宋体"/>
          <w:sz w:val="21"/>
          <w:szCs w:val="21"/>
        </w:rPr>
      </w:pPr>
      <w:r>
        <w:rPr>
          <w:rFonts w:hint="eastAsia" w:hAnsi="宋体"/>
          <w:sz w:val="21"/>
          <w:szCs w:val="21"/>
        </w:rPr>
        <w:t>依据相关的标准、规范，对生产场所、设施设备等是否符合安全要求，通过检查发现其存在的风险，提出改进措施的一种方法。包括编制安全检查表、列出设备设施清单、进行危险源辨识等步骤。</w:t>
      </w:r>
    </w:p>
    <w:p w14:paraId="5F6D0C52">
      <w:pPr>
        <w:pStyle w:val="29"/>
        <w:ind w:firstLine="0" w:firstLineChars="0"/>
        <w:rPr>
          <w:rFonts w:ascii="黑体" w:hAnsi="黑体" w:eastAsia="黑体"/>
          <w:bCs/>
          <w:sz w:val="21"/>
          <w:szCs w:val="21"/>
        </w:rPr>
      </w:pPr>
      <w:r>
        <w:rPr>
          <w:rFonts w:hint="eastAsia" w:ascii="黑体" w:hAnsi="黑体" w:eastAsia="黑体"/>
          <w:bCs/>
          <w:sz w:val="21"/>
          <w:szCs w:val="21"/>
          <w:lang w:val="en-US" w:eastAsia="zh-CN"/>
        </w:rPr>
        <w:t>B</w:t>
      </w:r>
      <w:r>
        <w:rPr>
          <w:rFonts w:hint="eastAsia" w:ascii="黑体" w:hAnsi="黑体" w:eastAsia="黑体"/>
          <w:bCs/>
          <w:sz w:val="21"/>
          <w:szCs w:val="21"/>
        </w:rPr>
        <w:t>.2安全检查表编制依据</w:t>
      </w:r>
    </w:p>
    <w:p w14:paraId="4FACC0FB">
      <w:pPr>
        <w:pStyle w:val="59"/>
        <w:numPr>
          <w:ilvl w:val="0"/>
          <w:numId w:val="23"/>
        </w:numPr>
        <w:ind w:left="0" w:firstLine="851"/>
        <w:jc w:val="both"/>
        <w:rPr>
          <w:rFonts w:hAnsi="宋体"/>
        </w:rPr>
      </w:pPr>
      <w:r>
        <w:rPr>
          <w:rFonts w:hint="eastAsia" w:hAnsi="宋体"/>
        </w:rPr>
        <w:t>有关法规、标准、规范及规定；</w:t>
      </w:r>
    </w:p>
    <w:p w14:paraId="60828358">
      <w:pPr>
        <w:pStyle w:val="59"/>
        <w:numPr>
          <w:ilvl w:val="0"/>
          <w:numId w:val="23"/>
        </w:numPr>
        <w:ind w:left="0" w:firstLine="851"/>
        <w:jc w:val="both"/>
        <w:rPr>
          <w:rFonts w:hAnsi="宋体"/>
        </w:rPr>
      </w:pPr>
      <w:r>
        <w:rPr>
          <w:rFonts w:hint="eastAsia" w:hAnsi="宋体"/>
        </w:rPr>
        <w:t>国内外事故案例和企业以往事故情况；</w:t>
      </w:r>
    </w:p>
    <w:p w14:paraId="0FFC46E7">
      <w:pPr>
        <w:pStyle w:val="59"/>
        <w:numPr>
          <w:ilvl w:val="0"/>
          <w:numId w:val="23"/>
        </w:numPr>
        <w:ind w:left="0" w:firstLine="851"/>
        <w:jc w:val="both"/>
        <w:rPr>
          <w:rFonts w:hAnsi="宋体"/>
        </w:rPr>
      </w:pPr>
      <w:r>
        <w:rPr>
          <w:rFonts w:hint="eastAsia" w:hAnsi="宋体"/>
        </w:rPr>
        <w:t>系统分析确定的危险部位及防范措施；</w:t>
      </w:r>
    </w:p>
    <w:p w14:paraId="16CCF73E">
      <w:pPr>
        <w:pStyle w:val="59"/>
        <w:numPr>
          <w:ilvl w:val="0"/>
          <w:numId w:val="23"/>
        </w:numPr>
        <w:ind w:left="0" w:firstLine="851"/>
        <w:jc w:val="both"/>
        <w:rPr>
          <w:rFonts w:hAnsi="宋体"/>
        </w:rPr>
      </w:pPr>
      <w:r>
        <w:rPr>
          <w:rFonts w:hint="eastAsia" w:hAnsi="宋体"/>
        </w:rPr>
        <w:t>分析人员的经验和可靠的参考资料；</w:t>
      </w:r>
    </w:p>
    <w:p w14:paraId="68FC71BF">
      <w:pPr>
        <w:pStyle w:val="59"/>
        <w:numPr>
          <w:ilvl w:val="0"/>
          <w:numId w:val="23"/>
        </w:numPr>
        <w:ind w:left="0" w:firstLine="851"/>
        <w:jc w:val="both"/>
        <w:rPr>
          <w:rFonts w:hAnsi="宋体"/>
        </w:rPr>
      </w:pPr>
      <w:r>
        <w:rPr>
          <w:rFonts w:hint="eastAsia" w:hAnsi="宋体"/>
        </w:rPr>
        <w:t>有关研究成果，同行业或类似行业检查表等。</w:t>
      </w:r>
    </w:p>
    <w:p w14:paraId="23F9462C">
      <w:pPr>
        <w:pStyle w:val="29"/>
        <w:ind w:firstLine="0" w:firstLineChars="0"/>
        <w:rPr>
          <w:rFonts w:ascii="黑体" w:hAnsi="黑体" w:eastAsia="黑体"/>
          <w:bCs/>
          <w:sz w:val="21"/>
          <w:szCs w:val="21"/>
        </w:rPr>
      </w:pPr>
      <w:r>
        <w:rPr>
          <w:rFonts w:hint="eastAsia" w:ascii="黑体" w:hAnsi="黑体" w:eastAsia="黑体"/>
          <w:bCs/>
          <w:sz w:val="21"/>
          <w:szCs w:val="21"/>
          <w:lang w:val="en-US" w:eastAsia="zh-CN"/>
        </w:rPr>
        <w:t>B</w:t>
      </w:r>
      <w:r>
        <w:rPr>
          <w:rFonts w:hint="eastAsia" w:ascii="黑体" w:hAnsi="黑体" w:eastAsia="黑体"/>
          <w:bCs/>
          <w:sz w:val="21"/>
          <w:szCs w:val="21"/>
        </w:rPr>
        <w:t>.3编制安全检查表</w:t>
      </w:r>
    </w:p>
    <w:p w14:paraId="24B07F86">
      <w:pPr>
        <w:pStyle w:val="59"/>
        <w:numPr>
          <w:ilvl w:val="0"/>
          <w:numId w:val="23"/>
        </w:numPr>
        <w:ind w:left="0" w:firstLine="851"/>
        <w:jc w:val="both"/>
        <w:rPr>
          <w:rFonts w:hAnsi="宋体"/>
        </w:rPr>
      </w:pPr>
      <w:r>
        <w:rPr>
          <w:rFonts w:hint="eastAsia" w:hAnsi="宋体"/>
        </w:rPr>
        <w:t>确定编制人员。包括熟悉生产流程的班组长、安全员、技术员、设备员等各方面人员。</w:t>
      </w:r>
    </w:p>
    <w:p w14:paraId="49651E7F">
      <w:pPr>
        <w:pStyle w:val="59"/>
        <w:numPr>
          <w:ilvl w:val="0"/>
          <w:numId w:val="23"/>
        </w:numPr>
        <w:ind w:left="0" w:firstLine="851"/>
        <w:jc w:val="both"/>
        <w:rPr>
          <w:rFonts w:hAnsi="宋体"/>
        </w:rPr>
      </w:pPr>
      <w:r>
        <w:rPr>
          <w:rFonts w:hint="eastAsia" w:hAnsi="宋体"/>
        </w:rPr>
        <w:t>熟悉生产流程。包括生产的过程、生产条件、布置和已有的安全防护设施。</w:t>
      </w:r>
    </w:p>
    <w:p w14:paraId="2789D119">
      <w:pPr>
        <w:pStyle w:val="59"/>
        <w:numPr>
          <w:ilvl w:val="0"/>
          <w:numId w:val="23"/>
        </w:numPr>
        <w:ind w:left="0" w:firstLine="851"/>
        <w:jc w:val="both"/>
        <w:rPr>
          <w:rFonts w:hAnsi="宋体"/>
        </w:rPr>
      </w:pPr>
      <w:r>
        <w:rPr>
          <w:rFonts w:hint="eastAsia" w:hAnsi="宋体"/>
        </w:rPr>
        <w:t>收集资料。收集有关安全法律、法规、规程、标准、制度及本系统过去发生的事故事件资料，作为编制安全检查表的依据。</w:t>
      </w:r>
    </w:p>
    <w:p w14:paraId="718BC7CA">
      <w:pPr>
        <w:pStyle w:val="59"/>
        <w:numPr>
          <w:ilvl w:val="0"/>
          <w:numId w:val="23"/>
        </w:numPr>
        <w:ind w:left="0" w:firstLine="851"/>
        <w:jc w:val="both"/>
        <w:rPr>
          <w:rFonts w:hAnsi="宋体"/>
        </w:rPr>
      </w:pPr>
      <w:r>
        <w:rPr>
          <w:rFonts w:hint="eastAsia" w:hAnsi="宋体"/>
        </w:rPr>
        <w:t>编制表格。确定检查项目、检查标准、不符合标准的情况及后果、安全控制措施等要素（参照附录A4中表4-1或表4-2相关栏目内容，可单独编制或直接采用该表）。</w:t>
      </w:r>
    </w:p>
    <w:p w14:paraId="6ED62523">
      <w:pPr>
        <w:pStyle w:val="29"/>
        <w:ind w:firstLine="0" w:firstLineChars="0"/>
        <w:rPr>
          <w:rFonts w:ascii="黑体" w:hAnsi="黑体" w:eastAsia="黑体"/>
          <w:bCs/>
          <w:sz w:val="21"/>
          <w:szCs w:val="21"/>
        </w:rPr>
      </w:pPr>
      <w:r>
        <w:rPr>
          <w:rFonts w:hint="eastAsia" w:ascii="黑体" w:hAnsi="黑体" w:eastAsia="黑体"/>
          <w:bCs/>
          <w:sz w:val="21"/>
          <w:szCs w:val="21"/>
          <w:lang w:val="en-US" w:eastAsia="zh-CN"/>
        </w:rPr>
        <w:t>B</w:t>
      </w:r>
      <w:r>
        <w:rPr>
          <w:rFonts w:hint="eastAsia" w:ascii="黑体" w:hAnsi="黑体" w:eastAsia="黑体"/>
          <w:bCs/>
          <w:sz w:val="21"/>
          <w:szCs w:val="21"/>
        </w:rPr>
        <w:t>.4安全检查表分析评价</w:t>
      </w:r>
    </w:p>
    <w:p w14:paraId="13EF1647">
      <w:pPr>
        <w:pStyle w:val="59"/>
        <w:numPr>
          <w:ilvl w:val="0"/>
          <w:numId w:val="23"/>
        </w:numPr>
        <w:ind w:left="0" w:firstLine="851"/>
        <w:jc w:val="both"/>
        <w:rPr>
          <w:rFonts w:hAnsi="宋体"/>
        </w:rPr>
      </w:pPr>
      <w:r>
        <w:rPr>
          <w:rFonts w:hint="eastAsia" w:hAnsi="宋体"/>
        </w:rPr>
        <w:t>列出《设备设施清单》（见附录A2）；</w:t>
      </w:r>
    </w:p>
    <w:p w14:paraId="3114DF8E">
      <w:pPr>
        <w:pStyle w:val="59"/>
        <w:numPr>
          <w:ilvl w:val="0"/>
          <w:numId w:val="23"/>
        </w:numPr>
        <w:ind w:left="0" w:firstLine="851"/>
        <w:jc w:val="both"/>
        <w:rPr>
          <w:rFonts w:hAnsi="宋体"/>
        </w:rPr>
      </w:pPr>
      <w:r>
        <w:rPr>
          <w:rFonts w:hint="eastAsia" w:hAnsi="宋体"/>
        </w:rPr>
        <w:t>依据《设备设施清单》，按功能或结构划分为若干危险源，对照安全检查表逐个分析潜在的危害；</w:t>
      </w:r>
    </w:p>
    <w:p w14:paraId="5E7A5B1F">
      <w:pPr>
        <w:pStyle w:val="59"/>
        <w:numPr>
          <w:ilvl w:val="0"/>
          <w:numId w:val="23"/>
        </w:numPr>
        <w:ind w:left="0" w:firstLine="851"/>
        <w:jc w:val="both"/>
        <w:rPr>
          <w:rFonts w:hAnsi="宋体"/>
        </w:rPr>
      </w:pPr>
      <w:r>
        <w:rPr>
          <w:rFonts w:hint="eastAsia" w:hAnsi="宋体"/>
        </w:rPr>
        <w:t>对每个危险源，按照《安全检查表分析（SCL）评价记录》（见附录A4）进行全过程的系统分析和记录。</w:t>
      </w:r>
    </w:p>
    <w:p w14:paraId="5CCDDB2F">
      <w:pPr>
        <w:pStyle w:val="29"/>
        <w:ind w:firstLine="0" w:firstLineChars="0"/>
        <w:rPr>
          <w:rFonts w:hAnsi="宋体"/>
          <w:sz w:val="21"/>
          <w:szCs w:val="21"/>
        </w:rPr>
      </w:pPr>
      <w:r>
        <w:rPr>
          <w:rFonts w:hint="eastAsia" w:hAnsi="宋体"/>
          <w:sz w:val="21"/>
          <w:szCs w:val="21"/>
        </w:rPr>
        <w:t xml:space="preserve"> </w:t>
      </w:r>
    </w:p>
    <w:p w14:paraId="54D645E6">
      <w:pPr>
        <w:widowControl/>
        <w:rPr>
          <w:rFonts w:hint="default" w:eastAsia="宋体"/>
          <w:lang w:val="en-US" w:eastAsia="zh-CN"/>
        </w:rPr>
      </w:pPr>
    </w:p>
    <w:sectPr>
      <w:pgSz w:w="11906" w:h="16838"/>
      <w:pgMar w:top="567" w:right="1134" w:bottom="1134" w:left="1418" w:header="57"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大黑体">
    <w:altName w:val="宋体"/>
    <w:panose1 w:val="0201060900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6FF9F"/>
    <w:multiLevelType w:val="singleLevel"/>
    <w:tmpl w:val="8B56FF9F"/>
    <w:lvl w:ilvl="0" w:tentative="0">
      <w:start w:val="1"/>
      <w:numFmt w:val="decimalEnclosedCircleChinese"/>
      <w:suff w:val="nothing"/>
      <w:lvlText w:val="%1　"/>
      <w:lvlJc w:val="left"/>
      <w:pPr>
        <w:ind w:left="0" w:firstLine="400"/>
      </w:pPr>
      <w:rPr>
        <w:rFonts w:hint="eastAsia"/>
      </w:rPr>
    </w:lvl>
  </w:abstractNum>
  <w:abstractNum w:abstractNumId="1">
    <w:nsid w:val="079102AD"/>
    <w:multiLevelType w:val="multilevel"/>
    <w:tmpl w:val="079102AD"/>
    <w:lvl w:ilvl="0" w:tentative="0">
      <w:start w:val="1"/>
      <w:numFmt w:val="decimal"/>
      <w:pStyle w:val="6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2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E526E22"/>
    <w:multiLevelType w:val="multilevel"/>
    <w:tmpl w:val="1E526E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9427AE"/>
    <w:multiLevelType w:val="multilevel"/>
    <w:tmpl w:val="1F9427AE"/>
    <w:lvl w:ilvl="0" w:tentative="0">
      <w:start w:val="1"/>
      <w:numFmt w:val="none"/>
      <w:suff w:val="nothing"/>
      <w:lvlText w:val="%1——"/>
      <w:lvlJc w:val="left"/>
      <w:pPr>
        <w:ind w:left="975" w:hanging="408"/>
      </w:pPr>
      <w:rPr>
        <w:rFonts w:hint="eastAsia" w:ascii="宋体" w:hAnsi="宋体" w:eastAsia="宋体" w:cs="Times New Roman"/>
      </w:rPr>
    </w:lvl>
    <w:lvl w:ilvl="1" w:tentative="0">
      <w:start w:val="1"/>
      <w:numFmt w:val="bullet"/>
      <w:lvlText w:val=""/>
      <w:lvlJc w:val="left"/>
      <w:pPr>
        <w:tabs>
          <w:tab w:val="left" w:pos="760"/>
        </w:tabs>
        <w:ind w:left="1264" w:hanging="413"/>
      </w:pPr>
      <w:rPr>
        <w:rFonts w:hint="default" w:ascii="Symbol" w:hAnsi="Symbol"/>
      </w:rPr>
    </w:lvl>
    <w:lvl w:ilvl="2" w:tentative="0">
      <w:start w:val="1"/>
      <w:numFmt w:val="bullet"/>
      <w:lvlText w:val=""/>
      <w:lvlJc w:val="left"/>
      <w:pPr>
        <w:tabs>
          <w:tab w:val="left" w:pos="1678"/>
        </w:tabs>
        <w:ind w:left="1678" w:hanging="414"/>
      </w:pPr>
      <w:rPr>
        <w:rFonts w:hint="default" w:ascii="Symbol" w:hAnsi="Symbol"/>
      </w:rPr>
    </w:lvl>
    <w:lvl w:ilvl="3" w:tentative="0">
      <w:start w:val="1"/>
      <w:numFmt w:val="decimal"/>
      <w:lvlText w:val="%4."/>
      <w:lvlJc w:val="left"/>
      <w:pPr>
        <w:tabs>
          <w:tab w:val="left" w:pos="2071"/>
        </w:tabs>
        <w:ind w:left="1884" w:hanging="528"/>
      </w:pPr>
      <w:rPr>
        <w:rFonts w:hint="eastAsia" w:ascii="宋体" w:hAnsi="宋体" w:eastAsia="宋体" w:cs="Times New Roman"/>
      </w:rPr>
    </w:lvl>
    <w:lvl w:ilvl="4" w:tentative="0">
      <w:start w:val="1"/>
      <w:numFmt w:val="lowerLetter"/>
      <w:lvlText w:val="%5)"/>
      <w:lvlJc w:val="left"/>
      <w:pPr>
        <w:tabs>
          <w:tab w:val="left" w:pos="2383"/>
        </w:tabs>
        <w:ind w:left="2196" w:hanging="528"/>
      </w:pPr>
      <w:rPr>
        <w:rFonts w:hint="eastAsia" w:ascii="宋体" w:hAnsi="宋体" w:eastAsia="宋体" w:cs="Times New Roman"/>
      </w:rPr>
    </w:lvl>
    <w:lvl w:ilvl="5" w:tentative="0">
      <w:start w:val="1"/>
      <w:numFmt w:val="lowerRoman"/>
      <w:lvlText w:val="%6."/>
      <w:lvlJc w:val="right"/>
      <w:pPr>
        <w:tabs>
          <w:tab w:val="left" w:pos="2695"/>
        </w:tabs>
        <w:ind w:left="2508" w:hanging="528"/>
      </w:pPr>
      <w:rPr>
        <w:rFonts w:hint="eastAsia" w:ascii="宋体" w:hAnsi="宋体" w:eastAsia="宋体" w:cs="Times New Roman"/>
      </w:rPr>
    </w:lvl>
    <w:lvl w:ilvl="6" w:tentative="0">
      <w:start w:val="1"/>
      <w:numFmt w:val="decimal"/>
      <w:lvlText w:val="%7."/>
      <w:lvlJc w:val="left"/>
      <w:pPr>
        <w:tabs>
          <w:tab w:val="left" w:pos="3007"/>
        </w:tabs>
        <w:ind w:left="2820" w:hanging="528"/>
      </w:pPr>
      <w:rPr>
        <w:rFonts w:hint="eastAsia" w:ascii="宋体" w:hAnsi="宋体" w:eastAsia="宋体" w:cs="Times New Roman"/>
      </w:rPr>
    </w:lvl>
    <w:lvl w:ilvl="7" w:tentative="0">
      <w:start w:val="1"/>
      <w:numFmt w:val="lowerLetter"/>
      <w:lvlText w:val="%8)"/>
      <w:lvlJc w:val="left"/>
      <w:pPr>
        <w:tabs>
          <w:tab w:val="left" w:pos="3319"/>
        </w:tabs>
        <w:ind w:left="3132" w:hanging="528"/>
      </w:pPr>
      <w:rPr>
        <w:rFonts w:hint="eastAsia" w:ascii="宋体" w:hAnsi="宋体" w:eastAsia="宋体" w:cs="Times New Roman"/>
      </w:rPr>
    </w:lvl>
    <w:lvl w:ilvl="8" w:tentative="0">
      <w:start w:val="1"/>
      <w:numFmt w:val="lowerRoman"/>
      <w:lvlText w:val="%9."/>
      <w:lvlJc w:val="right"/>
      <w:pPr>
        <w:tabs>
          <w:tab w:val="left" w:pos="3631"/>
        </w:tabs>
        <w:ind w:left="3444" w:hanging="528"/>
      </w:pPr>
      <w:rPr>
        <w:rFonts w:hint="eastAsia" w:ascii="宋体" w:hAnsi="宋体" w:eastAsia="宋体" w:cs="Times New Roman"/>
      </w:rPr>
    </w:lvl>
  </w:abstractNum>
  <w:abstractNum w:abstractNumId="8">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9"/>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9"/>
      <w:suff w:val="nothing"/>
      <w:lvlText w:val="%1——"/>
      <w:lvlJc w:val="left"/>
      <w:pPr>
        <w:ind w:left="1259" w:hanging="408"/>
      </w:pPr>
      <w:rPr>
        <w:rFonts w:hint="eastAsia"/>
      </w:rPr>
    </w:lvl>
    <w:lvl w:ilvl="1" w:tentative="0">
      <w:start w:val="1"/>
      <w:numFmt w:val="bullet"/>
      <w:pStyle w:val="60"/>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3BCA07B"/>
    <w:multiLevelType w:val="singleLevel"/>
    <w:tmpl w:val="33BCA07B"/>
    <w:lvl w:ilvl="0" w:tentative="0">
      <w:start w:val="1"/>
      <w:numFmt w:val="decimalEnclosedCircleChinese"/>
      <w:suff w:val="nothing"/>
      <w:lvlText w:val="%1　"/>
      <w:lvlJc w:val="left"/>
      <w:pPr>
        <w:ind w:left="0" w:firstLine="400"/>
      </w:pPr>
      <w:rPr>
        <w:rFonts w:hint="eastAsia"/>
      </w:rPr>
    </w:lvl>
  </w:abstractNum>
  <w:abstractNum w:abstractNumId="12">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6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pStyle w:val="6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7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496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92"/>
      <w:suff w:val="nothing"/>
      <w:lvlText w:val="附　录　%1"/>
      <w:lvlJc w:val="left"/>
      <w:pPr>
        <w:ind w:left="4678" w:firstLine="0"/>
      </w:pPr>
      <w:rPr>
        <w:rFonts w:hint="eastAsia" w:ascii="黑体" w:hAnsi="Times New Roman" w:eastAsia="黑体"/>
        <w:b w:val="0"/>
        <w:i w:val="0"/>
        <w:spacing w:val="0"/>
        <w:w w:val="100"/>
        <w:sz w:val="21"/>
        <w:lang w:val="en-US"/>
      </w:rPr>
    </w:lvl>
    <w:lvl w:ilvl="1" w:tentative="0">
      <w:start w:val="1"/>
      <w:numFmt w:val="decimal"/>
      <w:pStyle w:val="110"/>
      <w:suff w:val="nothing"/>
      <w:lvlText w:val="%1.%2　"/>
      <w:lvlJc w:val="left"/>
      <w:pPr>
        <w:ind w:left="4678"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4678" w:firstLine="0"/>
      </w:pPr>
      <w:rPr>
        <w:rFonts w:hint="eastAsia" w:ascii="黑体" w:hAnsi="Times New Roman" w:eastAsia="黑体"/>
        <w:b w:val="0"/>
        <w:i w:val="0"/>
        <w:sz w:val="21"/>
      </w:rPr>
    </w:lvl>
    <w:lvl w:ilvl="3" w:tentative="0">
      <w:start w:val="1"/>
      <w:numFmt w:val="decimal"/>
      <w:pStyle w:val="96"/>
      <w:suff w:val="nothing"/>
      <w:lvlText w:val="%1.%2.%3.%4　"/>
      <w:lvlJc w:val="left"/>
      <w:pPr>
        <w:ind w:left="4678" w:firstLine="0"/>
      </w:pPr>
      <w:rPr>
        <w:rFonts w:hint="eastAsia" w:ascii="黑体" w:hAnsi="Times New Roman" w:eastAsia="黑体"/>
        <w:b w:val="0"/>
        <w:i w:val="0"/>
        <w:sz w:val="21"/>
      </w:rPr>
    </w:lvl>
    <w:lvl w:ilvl="4" w:tentative="0">
      <w:start w:val="1"/>
      <w:numFmt w:val="decimal"/>
      <w:pStyle w:val="101"/>
      <w:suff w:val="nothing"/>
      <w:lvlText w:val="%1.%2.%3.%4.%5　"/>
      <w:lvlJc w:val="left"/>
      <w:pPr>
        <w:ind w:left="4678" w:firstLine="0"/>
      </w:pPr>
      <w:rPr>
        <w:rFonts w:hint="eastAsia" w:ascii="黑体" w:hAnsi="Times New Roman" w:eastAsia="黑体"/>
        <w:b w:val="0"/>
        <w:i w:val="0"/>
        <w:sz w:val="21"/>
      </w:rPr>
    </w:lvl>
    <w:lvl w:ilvl="5" w:tentative="0">
      <w:start w:val="1"/>
      <w:numFmt w:val="decimal"/>
      <w:pStyle w:val="104"/>
      <w:suff w:val="nothing"/>
      <w:lvlText w:val="%1.%2.%3.%4.%5.%6　"/>
      <w:lvlJc w:val="left"/>
      <w:pPr>
        <w:ind w:left="4678" w:firstLine="0"/>
      </w:pPr>
      <w:rPr>
        <w:rFonts w:hint="eastAsia" w:ascii="黑体" w:hAnsi="Times New Roman" w:eastAsia="黑体"/>
        <w:b w:val="0"/>
        <w:i w:val="0"/>
        <w:sz w:val="21"/>
      </w:rPr>
    </w:lvl>
    <w:lvl w:ilvl="6" w:tentative="0">
      <w:start w:val="1"/>
      <w:numFmt w:val="decimal"/>
      <w:pStyle w:val="108"/>
      <w:suff w:val="nothing"/>
      <w:lvlText w:val="%1.%2.%3.%4.%5.%6.%7　"/>
      <w:lvlJc w:val="left"/>
      <w:pPr>
        <w:ind w:left="4678" w:firstLine="0"/>
      </w:pPr>
      <w:rPr>
        <w:rFonts w:hint="eastAsia" w:ascii="黑体" w:hAnsi="Times New Roman" w:eastAsia="黑体"/>
        <w:b w:val="0"/>
        <w:i w:val="0"/>
        <w:sz w:val="21"/>
      </w:rPr>
    </w:lvl>
    <w:lvl w:ilvl="7" w:tentative="0">
      <w:start w:val="1"/>
      <w:numFmt w:val="decimal"/>
      <w:lvlText w:val="%1.%2.%3.%4.%5.%6.%7.%8"/>
      <w:lvlJc w:val="left"/>
      <w:pPr>
        <w:tabs>
          <w:tab w:val="left" w:pos="9072"/>
        </w:tabs>
        <w:ind w:left="9072" w:hanging="1418"/>
      </w:pPr>
      <w:rPr>
        <w:rFonts w:hint="eastAsia"/>
      </w:rPr>
    </w:lvl>
    <w:lvl w:ilvl="8" w:tentative="0">
      <w:start w:val="1"/>
      <w:numFmt w:val="decimal"/>
      <w:lvlText w:val="%1.%2.%3.%4.%5.%6.%7.%8.%9"/>
      <w:lvlJc w:val="left"/>
      <w:pPr>
        <w:tabs>
          <w:tab w:val="left" w:pos="9780"/>
        </w:tabs>
        <w:ind w:left="9780" w:hanging="1700"/>
      </w:pPr>
      <w:rPr>
        <w:rFonts w:hint="eastAsia"/>
      </w:rPr>
    </w:lvl>
  </w:abstractNum>
  <w:abstractNum w:abstractNumId="19">
    <w:nsid w:val="6BAB9CEC"/>
    <w:multiLevelType w:val="singleLevel"/>
    <w:tmpl w:val="6BAB9CEC"/>
    <w:lvl w:ilvl="0" w:tentative="0">
      <w:start w:val="1"/>
      <w:numFmt w:val="decimal"/>
      <w:lvlText w:val="(%1)"/>
      <w:lvlJc w:val="left"/>
      <w:pPr>
        <w:ind w:left="425" w:hanging="425"/>
      </w:pPr>
      <w:rPr>
        <w:rFonts w:hint="default"/>
      </w:rPr>
    </w:lvl>
  </w:abstractNum>
  <w:abstractNum w:abstractNumId="20">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6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2">
    <w:nsid w:val="6E224E1E"/>
    <w:multiLevelType w:val="multilevel"/>
    <w:tmpl w:val="6E224E1E"/>
    <w:lvl w:ilvl="0" w:tentative="0">
      <w:start w:val="1"/>
      <w:numFmt w:val="decimal"/>
      <w:isLgl/>
      <w:lvlText w:val="第%1章"/>
      <w:lvlJc w:val="left"/>
      <w:pPr>
        <w:tabs>
          <w:tab w:val="left" w:pos="1021"/>
        </w:tabs>
        <w:ind w:left="1021" w:hanging="1021"/>
      </w:pPr>
      <w:rPr>
        <w:rFonts w:hint="eastAsia" w:ascii="黑体" w:hAnsi="长城大黑体" w:eastAsia="黑体"/>
        <w:b w:val="0"/>
        <w:i w:val="0"/>
        <w:caps w:val="0"/>
        <w:strike w:val="0"/>
        <w:dstrike w:val="0"/>
        <w:vanish w:val="0"/>
        <w:sz w:val="32"/>
        <w:vertAlign w:val="baseline"/>
      </w:rPr>
    </w:lvl>
    <w:lvl w:ilvl="1" w:tentative="0">
      <w:start w:val="1"/>
      <w:numFmt w:val="decimal"/>
      <w:isLgl/>
      <w:lvlText w:val="%1.%2"/>
      <w:lvlJc w:val="left"/>
      <w:pPr>
        <w:tabs>
          <w:tab w:val="left" w:pos="680"/>
        </w:tabs>
        <w:ind w:left="680" w:hanging="680"/>
      </w:pPr>
      <w:rPr>
        <w:rFonts w:hint="eastAsia" w:cs="Times New Roman"/>
        <w:b w:val="0"/>
        <w:bCs w:val="0"/>
        <w:i w:val="0"/>
        <w:iCs w:val="0"/>
        <w:caps w:val="0"/>
        <w:smallCaps w:val="0"/>
        <w:strike w:val="0"/>
        <w:dstrike w:val="0"/>
        <w:vanish w:val="0"/>
        <w:spacing w:val="0"/>
        <w:kern w:val="0"/>
        <w:position w:val="0"/>
        <w:u w:val="none"/>
        <w:vertAlign w:val="baseline"/>
      </w:rPr>
    </w:lvl>
    <w:lvl w:ilvl="2" w:tentative="0">
      <w:start w:val="1"/>
      <w:numFmt w:val="decimal"/>
      <w:pStyle w:val="3"/>
      <w:isLgl/>
      <w:lvlText w:val="%1.%2.%3"/>
      <w:lvlJc w:val="left"/>
      <w:pPr>
        <w:tabs>
          <w:tab w:val="left" w:pos="680"/>
        </w:tabs>
        <w:ind w:left="680" w:hanging="680"/>
      </w:pPr>
      <w:rPr>
        <w:rFonts w:hint="eastAsia"/>
        <w:b w:val="0"/>
        <w:i w:val="0"/>
        <w:color w:val="auto"/>
        <w:spacing w:val="0"/>
      </w:rPr>
    </w:lvl>
    <w:lvl w:ilvl="3" w:tentative="0">
      <w:start w:val="1"/>
      <w:numFmt w:val="decimal"/>
      <w:lvlText w:val="%1.%2.%3.%4"/>
      <w:lvlJc w:val="left"/>
      <w:pPr>
        <w:tabs>
          <w:tab w:val="left" w:pos="1460"/>
        </w:tabs>
        <w:ind w:left="1460" w:hanging="680"/>
      </w:pPr>
      <w:rPr>
        <w:rFonts w:hint="eastAsia"/>
        <w:b w:val="0"/>
        <w:i w:val="0"/>
        <w:spacing w:val="0"/>
        <w:position w:val="0"/>
        <w:sz w:val="26"/>
      </w:rPr>
    </w:lvl>
    <w:lvl w:ilvl="4" w:tentative="0">
      <w:start w:val="1"/>
      <w:numFmt w:val="decimal"/>
      <w:lvlText w:val="%5）"/>
      <w:lvlJc w:val="left"/>
      <w:pPr>
        <w:tabs>
          <w:tab w:val="left" w:pos="680"/>
        </w:tabs>
        <w:ind w:left="680" w:hanging="453"/>
      </w:pPr>
      <w:rPr>
        <w:rFonts w:hint="eastAsia" w:ascii="宋体" w:hAnsi="Arial" w:eastAsia="宋体"/>
        <w:b w:val="0"/>
        <w:i w:val="0"/>
        <w:caps w:val="0"/>
        <w:strike w:val="0"/>
        <w:dstrike w:val="0"/>
        <w:vanish w:val="0"/>
        <w:color w:val="auto"/>
        <w:spacing w:val="0"/>
        <w:w w:val="80"/>
        <w:position w:val="0"/>
        <w:sz w:val="26"/>
        <w:vertAlign w:val="baseline"/>
      </w:rPr>
    </w:lvl>
    <w:lvl w:ilvl="5" w:tentative="0">
      <w:start w:val="1"/>
      <w:numFmt w:val="lowerLetter"/>
      <w:lvlText w:val="%6）"/>
      <w:lvlJc w:val="left"/>
      <w:pPr>
        <w:tabs>
          <w:tab w:val="left" w:pos="907"/>
        </w:tabs>
        <w:ind w:left="907" w:hanging="453"/>
      </w:pPr>
      <w:rPr>
        <w:rFonts w:hint="eastAsia" w:ascii="宋体" w:eastAsia="宋体"/>
        <w:b w:val="0"/>
        <w:i w:val="0"/>
        <w:w w:val="80"/>
        <w:sz w:val="26"/>
      </w:rPr>
    </w:lvl>
    <w:lvl w:ilvl="6" w:tentative="0">
      <w:start w:val="1"/>
      <w:numFmt w:val="none"/>
      <w:lvlText w:val="●"/>
      <w:lvlJc w:val="left"/>
      <w:pPr>
        <w:tabs>
          <w:tab w:val="left" w:pos="1247"/>
        </w:tabs>
        <w:ind w:left="1247" w:hanging="396"/>
      </w:pPr>
      <w:rPr>
        <w:rFonts w:hint="eastAsia" w:ascii="宋体" w:eastAsia="宋体"/>
        <w:b w:val="0"/>
        <w:i w:val="0"/>
        <w:caps w:val="0"/>
        <w:strike w:val="0"/>
        <w:dstrike w:val="0"/>
        <w:vanish w:val="0"/>
        <w:sz w:val="18"/>
        <w:vertAlign w:val="superscrip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2"/>
  </w:num>
  <w:num w:numId="2">
    <w:abstractNumId w:val="12"/>
  </w:num>
  <w:num w:numId="3">
    <w:abstractNumId w:val="8"/>
  </w:num>
  <w:num w:numId="4">
    <w:abstractNumId w:val="10"/>
  </w:num>
  <w:num w:numId="5">
    <w:abstractNumId w:val="3"/>
  </w:num>
  <w:num w:numId="6">
    <w:abstractNumId w:val="13"/>
  </w:num>
  <w:num w:numId="7">
    <w:abstractNumId w:val="21"/>
  </w:num>
  <w:num w:numId="8">
    <w:abstractNumId w:val="1"/>
  </w:num>
  <w:num w:numId="9">
    <w:abstractNumId w:val="14"/>
  </w:num>
  <w:num w:numId="10">
    <w:abstractNumId w:val="5"/>
  </w:num>
  <w:num w:numId="11">
    <w:abstractNumId w:val="18"/>
  </w:num>
  <w:num w:numId="12">
    <w:abstractNumId w:val="16"/>
  </w:num>
  <w:num w:numId="13">
    <w:abstractNumId w:val="20"/>
  </w:num>
  <w:num w:numId="14">
    <w:abstractNumId w:val="9"/>
  </w:num>
  <w:num w:numId="15">
    <w:abstractNumId w:val="2"/>
  </w:num>
  <w:num w:numId="16">
    <w:abstractNumId w:val="4"/>
  </w:num>
  <w:num w:numId="17">
    <w:abstractNumId w:val="17"/>
  </w:num>
  <w:num w:numId="18">
    <w:abstractNumId w:val="15"/>
  </w:num>
  <w:num w:numId="19">
    <w:abstractNumId w:val="6"/>
  </w:num>
  <w:num w:numId="20">
    <w:abstractNumId w:val="11"/>
  </w:num>
  <w:num w:numId="21">
    <w:abstractNumId w:val="0"/>
  </w:num>
  <w:num w:numId="22">
    <w:abstractNumId w:val="19"/>
  </w:num>
  <w:num w:numId="23">
    <w:abstractNumId w:val="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00035925"/>
    <w:rsid w:val="00000244"/>
    <w:rsid w:val="0000185F"/>
    <w:rsid w:val="000053CE"/>
    <w:rsid w:val="0000586F"/>
    <w:rsid w:val="000064B0"/>
    <w:rsid w:val="00006D5F"/>
    <w:rsid w:val="0001161C"/>
    <w:rsid w:val="00013D86"/>
    <w:rsid w:val="00013E02"/>
    <w:rsid w:val="00016966"/>
    <w:rsid w:val="0002143C"/>
    <w:rsid w:val="0002271C"/>
    <w:rsid w:val="00025A65"/>
    <w:rsid w:val="00026C31"/>
    <w:rsid w:val="00027280"/>
    <w:rsid w:val="000303D5"/>
    <w:rsid w:val="000320A7"/>
    <w:rsid w:val="00035925"/>
    <w:rsid w:val="000363AB"/>
    <w:rsid w:val="00041417"/>
    <w:rsid w:val="00044213"/>
    <w:rsid w:val="00046DC3"/>
    <w:rsid w:val="0004792A"/>
    <w:rsid w:val="00050A6E"/>
    <w:rsid w:val="00062560"/>
    <w:rsid w:val="00067CDF"/>
    <w:rsid w:val="00070D3C"/>
    <w:rsid w:val="00071896"/>
    <w:rsid w:val="00071C5D"/>
    <w:rsid w:val="00074FBE"/>
    <w:rsid w:val="00075970"/>
    <w:rsid w:val="00083A09"/>
    <w:rsid w:val="000844CE"/>
    <w:rsid w:val="00087DDB"/>
    <w:rsid w:val="0009005E"/>
    <w:rsid w:val="00092857"/>
    <w:rsid w:val="00095401"/>
    <w:rsid w:val="000A20A9"/>
    <w:rsid w:val="000A48B1"/>
    <w:rsid w:val="000B3095"/>
    <w:rsid w:val="000B3143"/>
    <w:rsid w:val="000C2331"/>
    <w:rsid w:val="000C3849"/>
    <w:rsid w:val="000C489E"/>
    <w:rsid w:val="000C6B05"/>
    <w:rsid w:val="000C6DD6"/>
    <w:rsid w:val="000C73D4"/>
    <w:rsid w:val="000D19F5"/>
    <w:rsid w:val="000D2D1C"/>
    <w:rsid w:val="000D3D4C"/>
    <w:rsid w:val="000D4F51"/>
    <w:rsid w:val="000D718B"/>
    <w:rsid w:val="000E0C46"/>
    <w:rsid w:val="000E66F5"/>
    <w:rsid w:val="000F030C"/>
    <w:rsid w:val="000F129C"/>
    <w:rsid w:val="000F14BF"/>
    <w:rsid w:val="000F1BF8"/>
    <w:rsid w:val="001056DE"/>
    <w:rsid w:val="00105CB5"/>
    <w:rsid w:val="001124C0"/>
    <w:rsid w:val="001145F5"/>
    <w:rsid w:val="00125668"/>
    <w:rsid w:val="0013175F"/>
    <w:rsid w:val="001339A8"/>
    <w:rsid w:val="0013636C"/>
    <w:rsid w:val="00137698"/>
    <w:rsid w:val="001507D4"/>
    <w:rsid w:val="001512B4"/>
    <w:rsid w:val="00156D15"/>
    <w:rsid w:val="00160BB1"/>
    <w:rsid w:val="001620A5"/>
    <w:rsid w:val="00164E53"/>
    <w:rsid w:val="00165E09"/>
    <w:rsid w:val="0016699D"/>
    <w:rsid w:val="00167704"/>
    <w:rsid w:val="0017159E"/>
    <w:rsid w:val="001733C7"/>
    <w:rsid w:val="0017491E"/>
    <w:rsid w:val="00175159"/>
    <w:rsid w:val="00176208"/>
    <w:rsid w:val="0018211B"/>
    <w:rsid w:val="001840D3"/>
    <w:rsid w:val="00187F6C"/>
    <w:rsid w:val="001900F8"/>
    <w:rsid w:val="00191258"/>
    <w:rsid w:val="0019228E"/>
    <w:rsid w:val="00192680"/>
    <w:rsid w:val="00193037"/>
    <w:rsid w:val="00193A2C"/>
    <w:rsid w:val="0019581D"/>
    <w:rsid w:val="001A288E"/>
    <w:rsid w:val="001A2F73"/>
    <w:rsid w:val="001A514F"/>
    <w:rsid w:val="001A6339"/>
    <w:rsid w:val="001B0552"/>
    <w:rsid w:val="001B1564"/>
    <w:rsid w:val="001B19FD"/>
    <w:rsid w:val="001B233D"/>
    <w:rsid w:val="001B2B06"/>
    <w:rsid w:val="001B6DC2"/>
    <w:rsid w:val="001C149C"/>
    <w:rsid w:val="001C21AC"/>
    <w:rsid w:val="001C47BA"/>
    <w:rsid w:val="001C5360"/>
    <w:rsid w:val="001C59EA"/>
    <w:rsid w:val="001D0BF9"/>
    <w:rsid w:val="001D406C"/>
    <w:rsid w:val="001D41EE"/>
    <w:rsid w:val="001D5A2F"/>
    <w:rsid w:val="001D6888"/>
    <w:rsid w:val="001D7151"/>
    <w:rsid w:val="001D7FC9"/>
    <w:rsid w:val="001E0380"/>
    <w:rsid w:val="001E13B1"/>
    <w:rsid w:val="001E2A04"/>
    <w:rsid w:val="001E5E20"/>
    <w:rsid w:val="001F37E3"/>
    <w:rsid w:val="001F3A19"/>
    <w:rsid w:val="00212122"/>
    <w:rsid w:val="00212FB6"/>
    <w:rsid w:val="0021318D"/>
    <w:rsid w:val="0021430D"/>
    <w:rsid w:val="00220482"/>
    <w:rsid w:val="00220C76"/>
    <w:rsid w:val="00222016"/>
    <w:rsid w:val="0023268F"/>
    <w:rsid w:val="00233553"/>
    <w:rsid w:val="00234467"/>
    <w:rsid w:val="00235EE1"/>
    <w:rsid w:val="00237D8D"/>
    <w:rsid w:val="00241DA2"/>
    <w:rsid w:val="00247FEE"/>
    <w:rsid w:val="002504C1"/>
    <w:rsid w:val="00250E7D"/>
    <w:rsid w:val="0025563B"/>
    <w:rsid w:val="002565D5"/>
    <w:rsid w:val="00257E04"/>
    <w:rsid w:val="00260875"/>
    <w:rsid w:val="002622C0"/>
    <w:rsid w:val="002634D1"/>
    <w:rsid w:val="00265D4A"/>
    <w:rsid w:val="00265FFB"/>
    <w:rsid w:val="0027551B"/>
    <w:rsid w:val="00275C2D"/>
    <w:rsid w:val="00276278"/>
    <w:rsid w:val="002778AE"/>
    <w:rsid w:val="0028269A"/>
    <w:rsid w:val="00282763"/>
    <w:rsid w:val="00283590"/>
    <w:rsid w:val="00286947"/>
    <w:rsid w:val="00286973"/>
    <w:rsid w:val="00294E70"/>
    <w:rsid w:val="002A1924"/>
    <w:rsid w:val="002A5435"/>
    <w:rsid w:val="002A57D8"/>
    <w:rsid w:val="002A5E84"/>
    <w:rsid w:val="002A7420"/>
    <w:rsid w:val="002B0F12"/>
    <w:rsid w:val="002B1308"/>
    <w:rsid w:val="002B4554"/>
    <w:rsid w:val="002B5B5E"/>
    <w:rsid w:val="002C0377"/>
    <w:rsid w:val="002C72D8"/>
    <w:rsid w:val="002D11FA"/>
    <w:rsid w:val="002D28D2"/>
    <w:rsid w:val="002D79DE"/>
    <w:rsid w:val="002E0DDF"/>
    <w:rsid w:val="002E2690"/>
    <w:rsid w:val="002E2906"/>
    <w:rsid w:val="002E5635"/>
    <w:rsid w:val="002E64C3"/>
    <w:rsid w:val="002E6A2C"/>
    <w:rsid w:val="002F0732"/>
    <w:rsid w:val="002F0C59"/>
    <w:rsid w:val="002F10DE"/>
    <w:rsid w:val="002F1D8C"/>
    <w:rsid w:val="002F21DA"/>
    <w:rsid w:val="002F2AF9"/>
    <w:rsid w:val="002F4041"/>
    <w:rsid w:val="002F51B3"/>
    <w:rsid w:val="002F78B7"/>
    <w:rsid w:val="00300668"/>
    <w:rsid w:val="00301F39"/>
    <w:rsid w:val="00316769"/>
    <w:rsid w:val="0032215A"/>
    <w:rsid w:val="00323C3E"/>
    <w:rsid w:val="00325926"/>
    <w:rsid w:val="003265E8"/>
    <w:rsid w:val="00327A8A"/>
    <w:rsid w:val="003300BB"/>
    <w:rsid w:val="00330D1D"/>
    <w:rsid w:val="00332D65"/>
    <w:rsid w:val="00333704"/>
    <w:rsid w:val="00336610"/>
    <w:rsid w:val="00343EEE"/>
    <w:rsid w:val="00343F73"/>
    <w:rsid w:val="00345060"/>
    <w:rsid w:val="00347798"/>
    <w:rsid w:val="0035323B"/>
    <w:rsid w:val="003609D2"/>
    <w:rsid w:val="00363F22"/>
    <w:rsid w:val="00367E33"/>
    <w:rsid w:val="00373D67"/>
    <w:rsid w:val="00375564"/>
    <w:rsid w:val="00375D1E"/>
    <w:rsid w:val="00383191"/>
    <w:rsid w:val="003831B5"/>
    <w:rsid w:val="00386DED"/>
    <w:rsid w:val="0039050E"/>
    <w:rsid w:val="003910AF"/>
    <w:rsid w:val="003912E7"/>
    <w:rsid w:val="00393846"/>
    <w:rsid w:val="00393947"/>
    <w:rsid w:val="003950CE"/>
    <w:rsid w:val="00396BF1"/>
    <w:rsid w:val="003A2275"/>
    <w:rsid w:val="003A6807"/>
    <w:rsid w:val="003A6A4F"/>
    <w:rsid w:val="003A7088"/>
    <w:rsid w:val="003B00DF"/>
    <w:rsid w:val="003B1275"/>
    <w:rsid w:val="003B1778"/>
    <w:rsid w:val="003C11CB"/>
    <w:rsid w:val="003C4CFB"/>
    <w:rsid w:val="003C75F3"/>
    <w:rsid w:val="003C78A3"/>
    <w:rsid w:val="003E1867"/>
    <w:rsid w:val="003E18ED"/>
    <w:rsid w:val="003E4504"/>
    <w:rsid w:val="003E5729"/>
    <w:rsid w:val="003F4C7D"/>
    <w:rsid w:val="003F4EE0"/>
    <w:rsid w:val="003F5C29"/>
    <w:rsid w:val="00402153"/>
    <w:rsid w:val="00402FC1"/>
    <w:rsid w:val="00403C04"/>
    <w:rsid w:val="00404421"/>
    <w:rsid w:val="00405DC4"/>
    <w:rsid w:val="0040708A"/>
    <w:rsid w:val="004226A9"/>
    <w:rsid w:val="00422EAF"/>
    <w:rsid w:val="00425082"/>
    <w:rsid w:val="00431DEB"/>
    <w:rsid w:val="00440DF0"/>
    <w:rsid w:val="00441323"/>
    <w:rsid w:val="00443A02"/>
    <w:rsid w:val="00444D43"/>
    <w:rsid w:val="00446B29"/>
    <w:rsid w:val="00453F9A"/>
    <w:rsid w:val="004605C7"/>
    <w:rsid w:val="00471E91"/>
    <w:rsid w:val="00472663"/>
    <w:rsid w:val="00474675"/>
    <w:rsid w:val="0047470C"/>
    <w:rsid w:val="0047489C"/>
    <w:rsid w:val="004816B5"/>
    <w:rsid w:val="004824E6"/>
    <w:rsid w:val="00492932"/>
    <w:rsid w:val="00496466"/>
    <w:rsid w:val="004A35F9"/>
    <w:rsid w:val="004A5E3B"/>
    <w:rsid w:val="004B24C1"/>
    <w:rsid w:val="004C292F"/>
    <w:rsid w:val="004D54C0"/>
    <w:rsid w:val="004E00B4"/>
    <w:rsid w:val="004E33F9"/>
    <w:rsid w:val="004E528B"/>
    <w:rsid w:val="004F0D86"/>
    <w:rsid w:val="004F1701"/>
    <w:rsid w:val="004F5DEE"/>
    <w:rsid w:val="004F5FD5"/>
    <w:rsid w:val="00500C52"/>
    <w:rsid w:val="00510280"/>
    <w:rsid w:val="00511E17"/>
    <w:rsid w:val="00513D73"/>
    <w:rsid w:val="00514A43"/>
    <w:rsid w:val="005174E5"/>
    <w:rsid w:val="00522393"/>
    <w:rsid w:val="00522620"/>
    <w:rsid w:val="00525656"/>
    <w:rsid w:val="005259DD"/>
    <w:rsid w:val="00534C02"/>
    <w:rsid w:val="0054264B"/>
    <w:rsid w:val="00542716"/>
    <w:rsid w:val="00543786"/>
    <w:rsid w:val="00545CA4"/>
    <w:rsid w:val="00551FF9"/>
    <w:rsid w:val="005533D7"/>
    <w:rsid w:val="0055407A"/>
    <w:rsid w:val="00570285"/>
    <w:rsid w:val="005703DE"/>
    <w:rsid w:val="005706C7"/>
    <w:rsid w:val="00575239"/>
    <w:rsid w:val="005756C3"/>
    <w:rsid w:val="005820EE"/>
    <w:rsid w:val="0058464E"/>
    <w:rsid w:val="00595A51"/>
    <w:rsid w:val="005A01CB"/>
    <w:rsid w:val="005A3211"/>
    <w:rsid w:val="005A58FF"/>
    <w:rsid w:val="005A5EAF"/>
    <w:rsid w:val="005A64C0"/>
    <w:rsid w:val="005B3C11"/>
    <w:rsid w:val="005C1C28"/>
    <w:rsid w:val="005C2364"/>
    <w:rsid w:val="005C3D52"/>
    <w:rsid w:val="005C5AC3"/>
    <w:rsid w:val="005C6DB5"/>
    <w:rsid w:val="005D311E"/>
    <w:rsid w:val="005D33A7"/>
    <w:rsid w:val="005D40A3"/>
    <w:rsid w:val="005D54B1"/>
    <w:rsid w:val="005E0AA9"/>
    <w:rsid w:val="005E19E7"/>
    <w:rsid w:val="005E2321"/>
    <w:rsid w:val="005E6519"/>
    <w:rsid w:val="005E72CF"/>
    <w:rsid w:val="005F1A00"/>
    <w:rsid w:val="005F2575"/>
    <w:rsid w:val="005F535C"/>
    <w:rsid w:val="005F5E33"/>
    <w:rsid w:val="00610F22"/>
    <w:rsid w:val="0061104A"/>
    <w:rsid w:val="00613B02"/>
    <w:rsid w:val="00614C14"/>
    <w:rsid w:val="0061716C"/>
    <w:rsid w:val="006243A1"/>
    <w:rsid w:val="006314DA"/>
    <w:rsid w:val="00632E56"/>
    <w:rsid w:val="00635CBA"/>
    <w:rsid w:val="006419CC"/>
    <w:rsid w:val="0064338B"/>
    <w:rsid w:val="0064588A"/>
    <w:rsid w:val="00646542"/>
    <w:rsid w:val="006504F4"/>
    <w:rsid w:val="006522C0"/>
    <w:rsid w:val="00654BC9"/>
    <w:rsid w:val="006552FD"/>
    <w:rsid w:val="00663AF3"/>
    <w:rsid w:val="00666B6C"/>
    <w:rsid w:val="00671EF6"/>
    <w:rsid w:val="00672C49"/>
    <w:rsid w:val="006772AF"/>
    <w:rsid w:val="00677B5E"/>
    <w:rsid w:val="0068191F"/>
    <w:rsid w:val="00682414"/>
    <w:rsid w:val="00682682"/>
    <w:rsid w:val="00682702"/>
    <w:rsid w:val="00683CEF"/>
    <w:rsid w:val="006868F0"/>
    <w:rsid w:val="00690DCC"/>
    <w:rsid w:val="00692368"/>
    <w:rsid w:val="006A05E7"/>
    <w:rsid w:val="006A2EBC"/>
    <w:rsid w:val="006A5EA0"/>
    <w:rsid w:val="006A783B"/>
    <w:rsid w:val="006A7B33"/>
    <w:rsid w:val="006B2375"/>
    <w:rsid w:val="006B4E13"/>
    <w:rsid w:val="006B75DD"/>
    <w:rsid w:val="006C57E1"/>
    <w:rsid w:val="006C67E0"/>
    <w:rsid w:val="006C7ABA"/>
    <w:rsid w:val="006D08BD"/>
    <w:rsid w:val="006D0D60"/>
    <w:rsid w:val="006D1122"/>
    <w:rsid w:val="006D2D48"/>
    <w:rsid w:val="006D3C00"/>
    <w:rsid w:val="006E0581"/>
    <w:rsid w:val="006E3675"/>
    <w:rsid w:val="006E4A7F"/>
    <w:rsid w:val="006F26D1"/>
    <w:rsid w:val="006F3A7A"/>
    <w:rsid w:val="006F55AD"/>
    <w:rsid w:val="0070267D"/>
    <w:rsid w:val="00703892"/>
    <w:rsid w:val="00704435"/>
    <w:rsid w:val="00704A48"/>
    <w:rsid w:val="00704DF6"/>
    <w:rsid w:val="0070651C"/>
    <w:rsid w:val="007132A3"/>
    <w:rsid w:val="00716421"/>
    <w:rsid w:val="007210B1"/>
    <w:rsid w:val="00724EFB"/>
    <w:rsid w:val="00730A32"/>
    <w:rsid w:val="00731376"/>
    <w:rsid w:val="00734F9B"/>
    <w:rsid w:val="00735102"/>
    <w:rsid w:val="00735736"/>
    <w:rsid w:val="007419C3"/>
    <w:rsid w:val="007467A7"/>
    <w:rsid w:val="007469DD"/>
    <w:rsid w:val="00746E49"/>
    <w:rsid w:val="0074741B"/>
    <w:rsid w:val="0074759E"/>
    <w:rsid w:val="007478EA"/>
    <w:rsid w:val="00751668"/>
    <w:rsid w:val="00751F16"/>
    <w:rsid w:val="0075415C"/>
    <w:rsid w:val="00755FFF"/>
    <w:rsid w:val="007579CB"/>
    <w:rsid w:val="007607AB"/>
    <w:rsid w:val="00760A37"/>
    <w:rsid w:val="00763502"/>
    <w:rsid w:val="00765C95"/>
    <w:rsid w:val="00766ABE"/>
    <w:rsid w:val="00783453"/>
    <w:rsid w:val="00786131"/>
    <w:rsid w:val="007861B2"/>
    <w:rsid w:val="00786268"/>
    <w:rsid w:val="007913AB"/>
    <w:rsid w:val="007914F7"/>
    <w:rsid w:val="0079619C"/>
    <w:rsid w:val="007A0B56"/>
    <w:rsid w:val="007B1625"/>
    <w:rsid w:val="007B2F61"/>
    <w:rsid w:val="007B706E"/>
    <w:rsid w:val="007B71EB"/>
    <w:rsid w:val="007C1E4E"/>
    <w:rsid w:val="007C2008"/>
    <w:rsid w:val="007C6205"/>
    <w:rsid w:val="007C6332"/>
    <w:rsid w:val="007C686A"/>
    <w:rsid w:val="007C728E"/>
    <w:rsid w:val="007D2C53"/>
    <w:rsid w:val="007D3D60"/>
    <w:rsid w:val="007E1980"/>
    <w:rsid w:val="007E4B76"/>
    <w:rsid w:val="007E5EA8"/>
    <w:rsid w:val="007E7ECE"/>
    <w:rsid w:val="007F0CF1"/>
    <w:rsid w:val="007F12A5"/>
    <w:rsid w:val="007F3C00"/>
    <w:rsid w:val="007F4CF1"/>
    <w:rsid w:val="007F5D02"/>
    <w:rsid w:val="007F758D"/>
    <w:rsid w:val="007F7D52"/>
    <w:rsid w:val="0080654C"/>
    <w:rsid w:val="008071C6"/>
    <w:rsid w:val="00807857"/>
    <w:rsid w:val="008127F5"/>
    <w:rsid w:val="00813FB9"/>
    <w:rsid w:val="0081737B"/>
    <w:rsid w:val="008178E7"/>
    <w:rsid w:val="00817A00"/>
    <w:rsid w:val="00820B3F"/>
    <w:rsid w:val="00835DB3"/>
    <w:rsid w:val="0083617B"/>
    <w:rsid w:val="008371BD"/>
    <w:rsid w:val="008416AE"/>
    <w:rsid w:val="00842046"/>
    <w:rsid w:val="00843B6A"/>
    <w:rsid w:val="00843C95"/>
    <w:rsid w:val="008504A8"/>
    <w:rsid w:val="00850A93"/>
    <w:rsid w:val="008514A3"/>
    <w:rsid w:val="0085282E"/>
    <w:rsid w:val="0086080F"/>
    <w:rsid w:val="008609E9"/>
    <w:rsid w:val="00863EDE"/>
    <w:rsid w:val="00867530"/>
    <w:rsid w:val="0087198C"/>
    <w:rsid w:val="00872C1F"/>
    <w:rsid w:val="00873B42"/>
    <w:rsid w:val="008748D3"/>
    <w:rsid w:val="008814EA"/>
    <w:rsid w:val="00883A39"/>
    <w:rsid w:val="008856D8"/>
    <w:rsid w:val="00892E82"/>
    <w:rsid w:val="008930F5"/>
    <w:rsid w:val="00893EDC"/>
    <w:rsid w:val="00894EDA"/>
    <w:rsid w:val="00895748"/>
    <w:rsid w:val="008A3B6C"/>
    <w:rsid w:val="008A7C85"/>
    <w:rsid w:val="008B5DA2"/>
    <w:rsid w:val="008C1B58"/>
    <w:rsid w:val="008C39AE"/>
    <w:rsid w:val="008C4251"/>
    <w:rsid w:val="008C590D"/>
    <w:rsid w:val="008D16BD"/>
    <w:rsid w:val="008E031B"/>
    <w:rsid w:val="008E0671"/>
    <w:rsid w:val="008E4B31"/>
    <w:rsid w:val="008E7029"/>
    <w:rsid w:val="008E7EF6"/>
    <w:rsid w:val="008F14FA"/>
    <w:rsid w:val="008F1F98"/>
    <w:rsid w:val="008F217D"/>
    <w:rsid w:val="008F3310"/>
    <w:rsid w:val="008F624B"/>
    <w:rsid w:val="008F6758"/>
    <w:rsid w:val="00902842"/>
    <w:rsid w:val="009040DD"/>
    <w:rsid w:val="00904F67"/>
    <w:rsid w:val="00905B47"/>
    <w:rsid w:val="0091331C"/>
    <w:rsid w:val="00917531"/>
    <w:rsid w:val="00924B33"/>
    <w:rsid w:val="009279DE"/>
    <w:rsid w:val="00930027"/>
    <w:rsid w:val="00930116"/>
    <w:rsid w:val="00931C2F"/>
    <w:rsid w:val="0094212C"/>
    <w:rsid w:val="00946D17"/>
    <w:rsid w:val="00954689"/>
    <w:rsid w:val="0095649E"/>
    <w:rsid w:val="009617C9"/>
    <w:rsid w:val="00961C93"/>
    <w:rsid w:val="00965324"/>
    <w:rsid w:val="00966185"/>
    <w:rsid w:val="0097091E"/>
    <w:rsid w:val="009760D3"/>
    <w:rsid w:val="00977132"/>
    <w:rsid w:val="009772F1"/>
    <w:rsid w:val="009808CD"/>
    <w:rsid w:val="009815FD"/>
    <w:rsid w:val="00981A4B"/>
    <w:rsid w:val="00982501"/>
    <w:rsid w:val="00982B9C"/>
    <w:rsid w:val="009877D3"/>
    <w:rsid w:val="00990E54"/>
    <w:rsid w:val="00994E8F"/>
    <w:rsid w:val="00994FF2"/>
    <w:rsid w:val="009951DC"/>
    <w:rsid w:val="00995205"/>
    <w:rsid w:val="009959BB"/>
    <w:rsid w:val="00995A51"/>
    <w:rsid w:val="00997158"/>
    <w:rsid w:val="009A3A7C"/>
    <w:rsid w:val="009A4127"/>
    <w:rsid w:val="009A6D54"/>
    <w:rsid w:val="009B2ADB"/>
    <w:rsid w:val="009B5807"/>
    <w:rsid w:val="009B603A"/>
    <w:rsid w:val="009B6CF1"/>
    <w:rsid w:val="009C24B1"/>
    <w:rsid w:val="009C2D0E"/>
    <w:rsid w:val="009C3DAC"/>
    <w:rsid w:val="009C42E0"/>
    <w:rsid w:val="009D15FE"/>
    <w:rsid w:val="009D25A5"/>
    <w:rsid w:val="009D5362"/>
    <w:rsid w:val="009D75BC"/>
    <w:rsid w:val="009E0930"/>
    <w:rsid w:val="009E1415"/>
    <w:rsid w:val="009E1B8A"/>
    <w:rsid w:val="009E6116"/>
    <w:rsid w:val="00A02E43"/>
    <w:rsid w:val="00A065F9"/>
    <w:rsid w:val="00A07F34"/>
    <w:rsid w:val="00A12936"/>
    <w:rsid w:val="00A22154"/>
    <w:rsid w:val="00A25C38"/>
    <w:rsid w:val="00A27BA1"/>
    <w:rsid w:val="00A308A1"/>
    <w:rsid w:val="00A36BBE"/>
    <w:rsid w:val="00A37E28"/>
    <w:rsid w:val="00A4307A"/>
    <w:rsid w:val="00A47EBB"/>
    <w:rsid w:val="00A51CDD"/>
    <w:rsid w:val="00A545A7"/>
    <w:rsid w:val="00A5743A"/>
    <w:rsid w:val="00A6730D"/>
    <w:rsid w:val="00A70D5C"/>
    <w:rsid w:val="00A71625"/>
    <w:rsid w:val="00A71B9B"/>
    <w:rsid w:val="00A727A4"/>
    <w:rsid w:val="00A751C7"/>
    <w:rsid w:val="00A84869"/>
    <w:rsid w:val="00A856F3"/>
    <w:rsid w:val="00A87844"/>
    <w:rsid w:val="00A90AF0"/>
    <w:rsid w:val="00A95DFE"/>
    <w:rsid w:val="00AA038C"/>
    <w:rsid w:val="00AA1C2C"/>
    <w:rsid w:val="00AA7A09"/>
    <w:rsid w:val="00AB37E2"/>
    <w:rsid w:val="00AB3B50"/>
    <w:rsid w:val="00AC05B1"/>
    <w:rsid w:val="00AD356C"/>
    <w:rsid w:val="00AD382E"/>
    <w:rsid w:val="00AD45B7"/>
    <w:rsid w:val="00AE2914"/>
    <w:rsid w:val="00AE6D15"/>
    <w:rsid w:val="00B029C8"/>
    <w:rsid w:val="00B04182"/>
    <w:rsid w:val="00B07AE3"/>
    <w:rsid w:val="00B11430"/>
    <w:rsid w:val="00B11C1F"/>
    <w:rsid w:val="00B145D7"/>
    <w:rsid w:val="00B1646A"/>
    <w:rsid w:val="00B219CF"/>
    <w:rsid w:val="00B22937"/>
    <w:rsid w:val="00B3103C"/>
    <w:rsid w:val="00B32789"/>
    <w:rsid w:val="00B34623"/>
    <w:rsid w:val="00B353EB"/>
    <w:rsid w:val="00B436CE"/>
    <w:rsid w:val="00B439C4"/>
    <w:rsid w:val="00B43EAA"/>
    <w:rsid w:val="00B4535E"/>
    <w:rsid w:val="00B462EC"/>
    <w:rsid w:val="00B52A8C"/>
    <w:rsid w:val="00B532CC"/>
    <w:rsid w:val="00B54E68"/>
    <w:rsid w:val="00B567DB"/>
    <w:rsid w:val="00B636A8"/>
    <w:rsid w:val="00B655A9"/>
    <w:rsid w:val="00B665C6"/>
    <w:rsid w:val="00B7021D"/>
    <w:rsid w:val="00B72F30"/>
    <w:rsid w:val="00B72F8F"/>
    <w:rsid w:val="00B805AF"/>
    <w:rsid w:val="00B82857"/>
    <w:rsid w:val="00B859D4"/>
    <w:rsid w:val="00B869EC"/>
    <w:rsid w:val="00B9397A"/>
    <w:rsid w:val="00B94003"/>
    <w:rsid w:val="00B9633D"/>
    <w:rsid w:val="00B96AAF"/>
    <w:rsid w:val="00BA0C6B"/>
    <w:rsid w:val="00BA2EBE"/>
    <w:rsid w:val="00BA4096"/>
    <w:rsid w:val="00BA436F"/>
    <w:rsid w:val="00BB0F28"/>
    <w:rsid w:val="00BB458A"/>
    <w:rsid w:val="00BC115D"/>
    <w:rsid w:val="00BC6E24"/>
    <w:rsid w:val="00BD00D3"/>
    <w:rsid w:val="00BD1659"/>
    <w:rsid w:val="00BD3AA9"/>
    <w:rsid w:val="00BD4A18"/>
    <w:rsid w:val="00BD52FF"/>
    <w:rsid w:val="00BD6DB2"/>
    <w:rsid w:val="00BE0F2A"/>
    <w:rsid w:val="00BE11CF"/>
    <w:rsid w:val="00BE1B47"/>
    <w:rsid w:val="00BE21AB"/>
    <w:rsid w:val="00BE55CB"/>
    <w:rsid w:val="00BF617A"/>
    <w:rsid w:val="00C0379D"/>
    <w:rsid w:val="00C03931"/>
    <w:rsid w:val="00C03AEE"/>
    <w:rsid w:val="00C05FE3"/>
    <w:rsid w:val="00C119F2"/>
    <w:rsid w:val="00C16E8C"/>
    <w:rsid w:val="00C2136D"/>
    <w:rsid w:val="00C214EE"/>
    <w:rsid w:val="00C2314B"/>
    <w:rsid w:val="00C24302"/>
    <w:rsid w:val="00C24971"/>
    <w:rsid w:val="00C25E83"/>
    <w:rsid w:val="00C26BE5"/>
    <w:rsid w:val="00C26E4D"/>
    <w:rsid w:val="00C27909"/>
    <w:rsid w:val="00C27B03"/>
    <w:rsid w:val="00C301E6"/>
    <w:rsid w:val="00C314E1"/>
    <w:rsid w:val="00C34397"/>
    <w:rsid w:val="00C4095D"/>
    <w:rsid w:val="00C42165"/>
    <w:rsid w:val="00C552B9"/>
    <w:rsid w:val="00C601D2"/>
    <w:rsid w:val="00C62B05"/>
    <w:rsid w:val="00C63A78"/>
    <w:rsid w:val="00C65BCC"/>
    <w:rsid w:val="00C66970"/>
    <w:rsid w:val="00C730FC"/>
    <w:rsid w:val="00C8691C"/>
    <w:rsid w:val="00C8761F"/>
    <w:rsid w:val="00C87F66"/>
    <w:rsid w:val="00C9394E"/>
    <w:rsid w:val="00C95C98"/>
    <w:rsid w:val="00C97A16"/>
    <w:rsid w:val="00CA168A"/>
    <w:rsid w:val="00CA357E"/>
    <w:rsid w:val="00CA44F9"/>
    <w:rsid w:val="00CA4A69"/>
    <w:rsid w:val="00CA6516"/>
    <w:rsid w:val="00CA794B"/>
    <w:rsid w:val="00CB76E1"/>
    <w:rsid w:val="00CC394C"/>
    <w:rsid w:val="00CC3E0C"/>
    <w:rsid w:val="00CC58D3"/>
    <w:rsid w:val="00CC784D"/>
    <w:rsid w:val="00CD1242"/>
    <w:rsid w:val="00CF426D"/>
    <w:rsid w:val="00CF6698"/>
    <w:rsid w:val="00CF68F4"/>
    <w:rsid w:val="00D00612"/>
    <w:rsid w:val="00D0337B"/>
    <w:rsid w:val="00D04355"/>
    <w:rsid w:val="00D0543E"/>
    <w:rsid w:val="00D079B2"/>
    <w:rsid w:val="00D114E9"/>
    <w:rsid w:val="00D155E3"/>
    <w:rsid w:val="00D25013"/>
    <w:rsid w:val="00D3351F"/>
    <w:rsid w:val="00D34996"/>
    <w:rsid w:val="00D37741"/>
    <w:rsid w:val="00D429C6"/>
    <w:rsid w:val="00D47748"/>
    <w:rsid w:val="00D54CC3"/>
    <w:rsid w:val="00D6041A"/>
    <w:rsid w:val="00D633EB"/>
    <w:rsid w:val="00D63E83"/>
    <w:rsid w:val="00D64FE7"/>
    <w:rsid w:val="00D82A5A"/>
    <w:rsid w:val="00D82F1D"/>
    <w:rsid w:val="00D82FF7"/>
    <w:rsid w:val="00D847FE"/>
    <w:rsid w:val="00D964EA"/>
    <w:rsid w:val="00D966D0"/>
    <w:rsid w:val="00D97C70"/>
    <w:rsid w:val="00DA0C59"/>
    <w:rsid w:val="00DA3991"/>
    <w:rsid w:val="00DB7B9C"/>
    <w:rsid w:val="00DB7E6C"/>
    <w:rsid w:val="00DC25BE"/>
    <w:rsid w:val="00DD5A29"/>
    <w:rsid w:val="00DD5D9D"/>
    <w:rsid w:val="00DE35CB"/>
    <w:rsid w:val="00DE5102"/>
    <w:rsid w:val="00DE5573"/>
    <w:rsid w:val="00DE73C5"/>
    <w:rsid w:val="00DF21E9"/>
    <w:rsid w:val="00DF70A5"/>
    <w:rsid w:val="00E00F14"/>
    <w:rsid w:val="00E033CF"/>
    <w:rsid w:val="00E054D4"/>
    <w:rsid w:val="00E06386"/>
    <w:rsid w:val="00E2213C"/>
    <w:rsid w:val="00E24EB4"/>
    <w:rsid w:val="00E26351"/>
    <w:rsid w:val="00E26D78"/>
    <w:rsid w:val="00E31A2A"/>
    <w:rsid w:val="00E320ED"/>
    <w:rsid w:val="00E33AFB"/>
    <w:rsid w:val="00E34218"/>
    <w:rsid w:val="00E374AB"/>
    <w:rsid w:val="00E46282"/>
    <w:rsid w:val="00E50305"/>
    <w:rsid w:val="00E50A41"/>
    <w:rsid w:val="00E5216E"/>
    <w:rsid w:val="00E62B6D"/>
    <w:rsid w:val="00E64DCA"/>
    <w:rsid w:val="00E733C2"/>
    <w:rsid w:val="00E75DFB"/>
    <w:rsid w:val="00E77A33"/>
    <w:rsid w:val="00E82344"/>
    <w:rsid w:val="00E82EF8"/>
    <w:rsid w:val="00E84C82"/>
    <w:rsid w:val="00E84D64"/>
    <w:rsid w:val="00E8564E"/>
    <w:rsid w:val="00E85B69"/>
    <w:rsid w:val="00E85D1D"/>
    <w:rsid w:val="00E86ED4"/>
    <w:rsid w:val="00E87408"/>
    <w:rsid w:val="00E914C4"/>
    <w:rsid w:val="00E934F5"/>
    <w:rsid w:val="00E9419A"/>
    <w:rsid w:val="00E94A23"/>
    <w:rsid w:val="00E96961"/>
    <w:rsid w:val="00E96E44"/>
    <w:rsid w:val="00EA3CA8"/>
    <w:rsid w:val="00EA4512"/>
    <w:rsid w:val="00EA72EC"/>
    <w:rsid w:val="00EA7741"/>
    <w:rsid w:val="00EB11CB"/>
    <w:rsid w:val="00EB137D"/>
    <w:rsid w:val="00EB275A"/>
    <w:rsid w:val="00EB3CC1"/>
    <w:rsid w:val="00EB786A"/>
    <w:rsid w:val="00EB7EB7"/>
    <w:rsid w:val="00EC000A"/>
    <w:rsid w:val="00EC1578"/>
    <w:rsid w:val="00EC1C72"/>
    <w:rsid w:val="00EC3CC9"/>
    <w:rsid w:val="00EC680A"/>
    <w:rsid w:val="00EC703B"/>
    <w:rsid w:val="00ED10E4"/>
    <w:rsid w:val="00ED3E59"/>
    <w:rsid w:val="00EE0EB7"/>
    <w:rsid w:val="00EE2BED"/>
    <w:rsid w:val="00EE374B"/>
    <w:rsid w:val="00EF4488"/>
    <w:rsid w:val="00EF59E3"/>
    <w:rsid w:val="00F02C59"/>
    <w:rsid w:val="00F074C5"/>
    <w:rsid w:val="00F11BB5"/>
    <w:rsid w:val="00F1417B"/>
    <w:rsid w:val="00F20A3C"/>
    <w:rsid w:val="00F26057"/>
    <w:rsid w:val="00F2622C"/>
    <w:rsid w:val="00F34B99"/>
    <w:rsid w:val="00F360C9"/>
    <w:rsid w:val="00F455A7"/>
    <w:rsid w:val="00F52DAB"/>
    <w:rsid w:val="00F543F0"/>
    <w:rsid w:val="00F62E8C"/>
    <w:rsid w:val="00F736C7"/>
    <w:rsid w:val="00F81D29"/>
    <w:rsid w:val="00F82098"/>
    <w:rsid w:val="00F850E4"/>
    <w:rsid w:val="00F91C4D"/>
    <w:rsid w:val="00F92FD9"/>
    <w:rsid w:val="00F93963"/>
    <w:rsid w:val="00F94530"/>
    <w:rsid w:val="00FA6684"/>
    <w:rsid w:val="00FA731E"/>
    <w:rsid w:val="00FB2B38"/>
    <w:rsid w:val="00FC6358"/>
    <w:rsid w:val="00FD320D"/>
    <w:rsid w:val="00FD36E8"/>
    <w:rsid w:val="00FD526B"/>
    <w:rsid w:val="00FE055A"/>
    <w:rsid w:val="00FE23DE"/>
    <w:rsid w:val="00FF1D0F"/>
    <w:rsid w:val="00FF1E7F"/>
    <w:rsid w:val="00FF7B8C"/>
    <w:rsid w:val="024907B2"/>
    <w:rsid w:val="02B032F2"/>
    <w:rsid w:val="05B857F6"/>
    <w:rsid w:val="09084B8D"/>
    <w:rsid w:val="0B835F16"/>
    <w:rsid w:val="0BA027A7"/>
    <w:rsid w:val="0BC4551B"/>
    <w:rsid w:val="0BE26BB0"/>
    <w:rsid w:val="0DD54E9A"/>
    <w:rsid w:val="10614597"/>
    <w:rsid w:val="15672332"/>
    <w:rsid w:val="16132AD1"/>
    <w:rsid w:val="17635244"/>
    <w:rsid w:val="1A6302F7"/>
    <w:rsid w:val="1E3E4C5A"/>
    <w:rsid w:val="20E23DFC"/>
    <w:rsid w:val="218E423F"/>
    <w:rsid w:val="22606CC7"/>
    <w:rsid w:val="244D6733"/>
    <w:rsid w:val="24562485"/>
    <w:rsid w:val="2509085C"/>
    <w:rsid w:val="277168EC"/>
    <w:rsid w:val="285B76F4"/>
    <w:rsid w:val="288C390D"/>
    <w:rsid w:val="29DF77AC"/>
    <w:rsid w:val="2A5A3095"/>
    <w:rsid w:val="2A660F8E"/>
    <w:rsid w:val="2BED022F"/>
    <w:rsid w:val="31EA7104"/>
    <w:rsid w:val="33035720"/>
    <w:rsid w:val="33A22BAD"/>
    <w:rsid w:val="34D85AA7"/>
    <w:rsid w:val="3570339F"/>
    <w:rsid w:val="35724B58"/>
    <w:rsid w:val="357A2B3B"/>
    <w:rsid w:val="367D166C"/>
    <w:rsid w:val="37BC6ABA"/>
    <w:rsid w:val="39E756D1"/>
    <w:rsid w:val="3A0608EB"/>
    <w:rsid w:val="3A5E4238"/>
    <w:rsid w:val="3AF96EC2"/>
    <w:rsid w:val="3BE6245F"/>
    <w:rsid w:val="3C473595"/>
    <w:rsid w:val="3D6852F8"/>
    <w:rsid w:val="3DED16DA"/>
    <w:rsid w:val="401971C3"/>
    <w:rsid w:val="40772A54"/>
    <w:rsid w:val="41C24E5D"/>
    <w:rsid w:val="425F0864"/>
    <w:rsid w:val="42986BA1"/>
    <w:rsid w:val="459D6650"/>
    <w:rsid w:val="45AF1174"/>
    <w:rsid w:val="486B42D5"/>
    <w:rsid w:val="48D14681"/>
    <w:rsid w:val="4A160143"/>
    <w:rsid w:val="4A836A5A"/>
    <w:rsid w:val="4C055CE3"/>
    <w:rsid w:val="4C9525F3"/>
    <w:rsid w:val="52CA60B7"/>
    <w:rsid w:val="53A451D5"/>
    <w:rsid w:val="548732F5"/>
    <w:rsid w:val="5568404D"/>
    <w:rsid w:val="57001A06"/>
    <w:rsid w:val="58143A09"/>
    <w:rsid w:val="5AAA3E8B"/>
    <w:rsid w:val="5E446476"/>
    <w:rsid w:val="5E6C5C98"/>
    <w:rsid w:val="5E84461C"/>
    <w:rsid w:val="5EBE4148"/>
    <w:rsid w:val="5ED0364F"/>
    <w:rsid w:val="5F8730AB"/>
    <w:rsid w:val="60C345D2"/>
    <w:rsid w:val="663D3272"/>
    <w:rsid w:val="675573B0"/>
    <w:rsid w:val="69255090"/>
    <w:rsid w:val="6AE378B9"/>
    <w:rsid w:val="6CA656E9"/>
    <w:rsid w:val="6E235212"/>
    <w:rsid w:val="6E495248"/>
    <w:rsid w:val="6EE835FE"/>
    <w:rsid w:val="6EF17CD0"/>
    <w:rsid w:val="72403286"/>
    <w:rsid w:val="74273BAE"/>
    <w:rsid w:val="745757F4"/>
    <w:rsid w:val="76D91AB8"/>
    <w:rsid w:val="7A171AA0"/>
    <w:rsid w:val="7B946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Lines="50" w:afterLines="50" w:line="360" w:lineRule="auto"/>
      <w:outlineLvl w:val="1"/>
    </w:pPr>
    <w:rPr>
      <w:rFonts w:ascii="Cambria" w:hAnsi="Cambria" w:eastAsia="黑体" w:cs="Times New Roman"/>
      <w:bCs/>
      <w:sz w:val="32"/>
      <w:szCs w:val="32"/>
    </w:rPr>
  </w:style>
  <w:style w:type="paragraph" w:styleId="3">
    <w:name w:val="heading 3"/>
    <w:basedOn w:val="1"/>
    <w:next w:val="1"/>
    <w:qFormat/>
    <w:uiPriority w:val="0"/>
    <w:pPr>
      <w:keepLines/>
      <w:numPr>
        <w:ilvl w:val="2"/>
        <w:numId w:val="1"/>
      </w:numPr>
      <w:spacing w:before="30" w:beforeLines="30"/>
      <w:outlineLvl w:val="2"/>
    </w:pPr>
    <w:rPr>
      <w:rFonts w:ascii="黑体" w:eastAsia="黑体"/>
      <w:bCs/>
      <w:kern w:val="0"/>
      <w:szCs w:val="32"/>
    </w:rPr>
  </w:style>
  <w:style w:type="paragraph" w:styleId="4">
    <w:name w:val="heading 4"/>
    <w:basedOn w:val="1"/>
    <w:next w:val="1"/>
    <w:link w:val="144"/>
    <w:qFormat/>
    <w:uiPriority w:val="0"/>
    <w:pPr>
      <w:keepNext/>
      <w:keepLines/>
      <w:spacing w:before="280" w:after="290" w:line="376" w:lineRule="auto"/>
      <w:outlineLvl w:val="3"/>
    </w:pPr>
    <w:rPr>
      <w:rFonts w:ascii="Cambria" w:hAnsi="Cambria"/>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8"/>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qFormat/>
    <w:uiPriority w:val="0"/>
    <w:rPr>
      <w:rFonts w:eastAsia="黑体"/>
      <w:sz w:val="28"/>
    </w:rPr>
  </w:style>
  <w:style w:type="paragraph" w:styleId="13">
    <w:name w:val="Body Text Indent"/>
    <w:basedOn w:val="1"/>
    <w:link w:val="145"/>
    <w:qFormat/>
    <w:uiPriority w:val="0"/>
    <w:pPr>
      <w:spacing w:line="300" w:lineRule="auto"/>
      <w:ind w:firstLine="567"/>
    </w:pPr>
    <w:rPr>
      <w:rFonts w:ascii="宋体" w:hAnsi="宋体"/>
      <w:bCs/>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qFormat/>
    <w:uiPriority w:val="39"/>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Plain Text"/>
    <w:basedOn w:val="1"/>
    <w:link w:val="146"/>
    <w:qFormat/>
    <w:uiPriority w:val="0"/>
    <w:rPr>
      <w:rFonts w:ascii="宋体" w:hAnsi="Courier New"/>
      <w:szCs w:val="20"/>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Body Text Indent 2"/>
    <w:basedOn w:val="1"/>
    <w:qFormat/>
    <w:uiPriority w:val="0"/>
    <w:pPr>
      <w:spacing w:after="120" w:line="480" w:lineRule="auto"/>
      <w:ind w:left="420" w:leftChars="200"/>
    </w:pPr>
    <w:rPr>
      <w:szCs w:val="24"/>
    </w:rPr>
  </w:style>
  <w:style w:type="paragraph" w:styleId="21">
    <w:name w:val="endnote text"/>
    <w:basedOn w:val="1"/>
    <w:semiHidden/>
    <w:qFormat/>
    <w:uiPriority w:val="0"/>
    <w:pPr>
      <w:snapToGrid w:val="0"/>
      <w:jc w:val="left"/>
    </w:pPr>
  </w:style>
  <w:style w:type="paragraph" w:styleId="22">
    <w:name w:val="Balloon Text"/>
    <w:basedOn w:val="1"/>
    <w:link w:val="147"/>
    <w:qFormat/>
    <w:uiPriority w:val="0"/>
    <w:rPr>
      <w:sz w:val="18"/>
      <w:szCs w:val="18"/>
    </w:rPr>
  </w:style>
  <w:style w:type="paragraph" w:styleId="23">
    <w:name w:val="footer"/>
    <w:basedOn w:val="1"/>
    <w:qFormat/>
    <w:uiPriority w:val="0"/>
    <w:pPr>
      <w:snapToGrid w:val="0"/>
      <w:ind w:right="210" w:rightChars="100"/>
      <w:jc w:val="right"/>
    </w:pPr>
    <w:rPr>
      <w:sz w:val="18"/>
      <w:szCs w:val="18"/>
    </w:rPr>
  </w:style>
  <w:style w:type="paragraph" w:styleId="24">
    <w:name w:val="header"/>
    <w:basedOn w:val="1"/>
    <w:qFormat/>
    <w:uiPriority w:val="0"/>
    <w:pPr>
      <w:snapToGrid w:val="0"/>
      <w:jc w:val="left"/>
    </w:pPr>
    <w:rPr>
      <w:sz w:val="18"/>
      <w:szCs w:val="18"/>
    </w:rPr>
  </w:style>
  <w:style w:type="paragraph" w:styleId="25">
    <w:name w:val="toc 1"/>
    <w:basedOn w:val="1"/>
    <w:next w:val="1"/>
    <w:qFormat/>
    <w:uiPriority w:val="39"/>
    <w:pPr>
      <w:tabs>
        <w:tab w:val="right" w:leader="dot" w:pos="9241"/>
      </w:tabs>
      <w:spacing w:beforeLines="25" w:afterLines="25"/>
      <w:jc w:val="left"/>
    </w:pPr>
    <w:rPr>
      <w:rFonts w:ascii="宋体"/>
      <w:szCs w:val="21"/>
    </w:rPr>
  </w:style>
  <w:style w:type="paragraph" w:styleId="26">
    <w:name w:val="toc 4"/>
    <w:basedOn w:val="1"/>
    <w:next w:val="1"/>
    <w:qFormat/>
    <w:uiPriority w:val="39"/>
    <w:pPr>
      <w:tabs>
        <w:tab w:val="right" w:leader="dot" w:pos="9241"/>
      </w:tabs>
      <w:ind w:firstLine="198"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2"/>
      </w:numPr>
      <w:snapToGrid w:val="0"/>
      <w:jc w:val="left"/>
    </w:pPr>
    <w:rPr>
      <w:rFonts w:ascii="宋体"/>
      <w:sz w:val="18"/>
      <w:szCs w:val="18"/>
    </w:rPr>
  </w:style>
  <w:style w:type="paragraph" w:styleId="31">
    <w:name w:val="toc 6"/>
    <w:basedOn w:val="1"/>
    <w:next w:val="1"/>
    <w:semiHidden/>
    <w:qFormat/>
    <w:uiPriority w:val="0"/>
    <w:pPr>
      <w:tabs>
        <w:tab w:val="right" w:leader="dot" w:pos="9241"/>
      </w:tabs>
      <w:ind w:firstLine="403" w:firstLineChars="400"/>
      <w:jc w:val="left"/>
    </w:pPr>
    <w:rPr>
      <w:rFonts w:ascii="宋体"/>
      <w:szCs w:val="21"/>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tabs>
        <w:tab w:val="right" w:leader="dot" w:pos="9241"/>
      </w:tabs>
    </w:pPr>
    <w:rPr>
      <w:rFonts w:ascii="宋体"/>
      <w:szCs w:val="21"/>
    </w:rPr>
  </w:style>
  <w:style w:type="paragraph" w:styleId="35">
    <w:name w:val="toc 9"/>
    <w:basedOn w:val="1"/>
    <w:next w:val="1"/>
    <w:semiHidden/>
    <w:qFormat/>
    <w:uiPriority w:val="0"/>
    <w:pPr>
      <w:ind w:left="1470"/>
      <w:jc w:val="left"/>
    </w:pPr>
    <w:rPr>
      <w:sz w:val="20"/>
      <w:szCs w:val="20"/>
    </w:rPr>
  </w:style>
  <w:style w:type="paragraph" w:styleId="3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7">
    <w:name w:val="index 2"/>
    <w:basedOn w:val="1"/>
    <w:next w:val="1"/>
    <w:qFormat/>
    <w:uiPriority w:val="0"/>
    <w:pPr>
      <w:ind w:left="420" w:hanging="210"/>
      <w:jc w:val="left"/>
    </w:pPr>
    <w:rPr>
      <w:rFonts w:ascii="Calibri" w:hAnsi="Calibri"/>
      <w:sz w:val="20"/>
      <w:szCs w:val="20"/>
    </w:rPr>
  </w:style>
  <w:style w:type="paragraph" w:styleId="38">
    <w:name w:val="annotation subject"/>
    <w:basedOn w:val="10"/>
    <w:next w:val="10"/>
    <w:link w:val="149"/>
    <w:qFormat/>
    <w:uiPriority w:val="0"/>
    <w:rPr>
      <w:b/>
      <w:bCs/>
    </w:rPr>
  </w:style>
  <w:style w:type="table" w:styleId="40">
    <w:name w:val="Table Grid"/>
    <w:basedOn w:val="3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basedOn w:val="41"/>
    <w:semiHidden/>
    <w:qFormat/>
    <w:uiPriority w:val="0"/>
    <w:rPr>
      <w:vertAlign w:val="superscript"/>
    </w:rPr>
  </w:style>
  <w:style w:type="character" w:styleId="43">
    <w:name w:val="page number"/>
    <w:basedOn w:val="41"/>
    <w:qFormat/>
    <w:uiPriority w:val="0"/>
    <w:rPr>
      <w:rFonts w:ascii="Times New Roman" w:hAnsi="Times New Roman" w:eastAsia="宋体"/>
      <w:sz w:val="18"/>
    </w:rPr>
  </w:style>
  <w:style w:type="character" w:styleId="44">
    <w:name w:val="FollowedHyperlink"/>
    <w:basedOn w:val="41"/>
    <w:qFormat/>
    <w:uiPriority w:val="0"/>
    <w:rPr>
      <w:color w:val="800080"/>
      <w:u w:val="single"/>
    </w:rPr>
  </w:style>
  <w:style w:type="character" w:styleId="45">
    <w:name w:val="Hyperlink"/>
    <w:basedOn w:val="41"/>
    <w:qFormat/>
    <w:uiPriority w:val="99"/>
    <w:rPr>
      <w:color w:val="0000FF"/>
      <w:spacing w:val="0"/>
      <w:w w:val="100"/>
      <w:szCs w:val="21"/>
      <w:u w:val="single"/>
    </w:rPr>
  </w:style>
  <w:style w:type="character" w:styleId="46">
    <w:name w:val="annotation reference"/>
    <w:basedOn w:val="41"/>
    <w:qFormat/>
    <w:uiPriority w:val="0"/>
    <w:rPr>
      <w:sz w:val="21"/>
      <w:szCs w:val="21"/>
    </w:rPr>
  </w:style>
  <w:style w:type="character" w:styleId="47">
    <w:name w:val="footnote reference"/>
    <w:basedOn w:val="41"/>
    <w:semiHidden/>
    <w:qFormat/>
    <w:uiPriority w:val="0"/>
    <w:rPr>
      <w:vertAlign w:val="superscript"/>
    </w:rPr>
  </w:style>
  <w:style w:type="paragraph" w:customStyle="1" w:styleId="48">
    <w:name w:val="章标题"/>
    <w:next w:val="2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49">
    <w:name w:val="一级条标题"/>
    <w:next w:val="2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0">
    <w:name w:val="二级条标题"/>
    <w:basedOn w:val="49"/>
    <w:next w:val="29"/>
    <w:qFormat/>
    <w:uiPriority w:val="0"/>
    <w:pPr>
      <w:numPr>
        <w:ilvl w:val="2"/>
      </w:numPr>
      <w:spacing w:before="50" w:after="50"/>
      <w:outlineLvl w:val="3"/>
    </w:pPr>
  </w:style>
  <w:style w:type="paragraph" w:customStyle="1" w:styleId="51">
    <w:name w:val="三级条标题"/>
    <w:basedOn w:val="50"/>
    <w:next w:val="29"/>
    <w:qFormat/>
    <w:uiPriority w:val="0"/>
    <w:pPr>
      <w:numPr>
        <w:ilvl w:val="3"/>
      </w:numPr>
      <w:outlineLvl w:val="4"/>
    </w:pPr>
  </w:style>
  <w:style w:type="paragraph" w:customStyle="1" w:styleId="52">
    <w:name w:val="四级条标题"/>
    <w:basedOn w:val="51"/>
    <w:next w:val="29"/>
    <w:qFormat/>
    <w:uiPriority w:val="0"/>
    <w:pPr>
      <w:numPr>
        <w:ilvl w:val="4"/>
      </w:numPr>
      <w:outlineLvl w:val="5"/>
    </w:pPr>
  </w:style>
  <w:style w:type="paragraph" w:customStyle="1" w:styleId="53">
    <w:name w:val="五级条标题"/>
    <w:basedOn w:val="52"/>
    <w:next w:val="29"/>
    <w:qFormat/>
    <w:uiPriority w:val="0"/>
    <w:pPr>
      <w:numPr>
        <w:ilvl w:val="5"/>
      </w:numPr>
      <w:outlineLvl w:val="6"/>
    </w:pPr>
  </w:style>
  <w:style w:type="character" w:customStyle="1" w:styleId="54">
    <w:name w:val="段 Char"/>
    <w:basedOn w:val="41"/>
    <w:link w:val="29"/>
    <w:qFormat/>
    <w:uiPriority w:val="0"/>
    <w:rPr>
      <w:rFonts w:ascii="宋体"/>
      <w:sz w:val="21"/>
      <w:lang w:val="en-US" w:eastAsia="zh-CN" w:bidi="ar-SA"/>
    </w:rPr>
  </w:style>
  <w:style w:type="paragraph" w:customStyle="1" w:styleId="55">
    <w:name w:val="三级无"/>
    <w:basedOn w:val="51"/>
    <w:qFormat/>
    <w:uiPriority w:val="0"/>
    <w:pPr>
      <w:spacing w:beforeLines="0" w:afterLines="0"/>
    </w:pPr>
    <w:rPr>
      <w:rFonts w:ascii="宋体" w:eastAsia="宋体"/>
    </w:rPr>
  </w:style>
  <w:style w:type="paragraph" w:customStyle="1" w:styleId="5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9">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60">
    <w:name w:val="列项●（二级）"/>
    <w:qFormat/>
    <w:uiPriority w:val="0"/>
    <w:pPr>
      <w:numPr>
        <w:ilvl w:val="1"/>
        <w:numId w:val="4"/>
      </w:numPr>
      <w:tabs>
        <w:tab w:val="left" w:pos="840"/>
        <w:tab w:val="clear" w:pos="760"/>
      </w:tabs>
      <w:jc w:val="both"/>
    </w:pPr>
    <w:rPr>
      <w:rFonts w:ascii="宋体" w:hAnsi="Times New Roman" w:eastAsia="宋体" w:cs="Times New Roman"/>
      <w:sz w:val="21"/>
      <w:lang w:val="en-US" w:eastAsia="zh-CN" w:bidi="ar-SA"/>
    </w:rPr>
  </w:style>
  <w:style w:type="paragraph" w:customStyle="1" w:styleId="61">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2">
    <w:name w:val="示例"/>
    <w:next w:val="63"/>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65">
    <w:name w:val="注："/>
    <w:next w:val="29"/>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6">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7">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8">
    <w:name w:val="列项◆（三级）"/>
    <w:basedOn w:val="1"/>
    <w:qFormat/>
    <w:uiPriority w:val="0"/>
    <w:pPr>
      <w:numPr>
        <w:ilvl w:val="2"/>
        <w:numId w:val="4"/>
      </w:numPr>
    </w:pPr>
    <w:rPr>
      <w:rFonts w:ascii="宋体"/>
      <w:szCs w:val="21"/>
    </w:rPr>
  </w:style>
  <w:style w:type="paragraph" w:customStyle="1" w:styleId="69">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0">
    <w:name w:val="示例×："/>
    <w:basedOn w:val="48"/>
    <w:qFormat/>
    <w:uiPriority w:val="0"/>
    <w:pPr>
      <w:numPr>
        <w:numId w:val="9"/>
      </w:numPr>
      <w:spacing w:beforeLines="0" w:afterLines="0"/>
      <w:outlineLvl w:val="9"/>
    </w:pPr>
    <w:rPr>
      <w:rFonts w:ascii="宋体" w:eastAsia="宋体"/>
      <w:sz w:val="18"/>
      <w:szCs w:val="18"/>
    </w:rPr>
  </w:style>
  <w:style w:type="paragraph" w:customStyle="1" w:styleId="71">
    <w:name w:val="二级无"/>
    <w:basedOn w:val="50"/>
    <w:link w:val="152"/>
    <w:qFormat/>
    <w:uiPriority w:val="0"/>
    <w:pPr>
      <w:spacing w:beforeLines="0" w:afterLines="0"/>
    </w:pPr>
    <w:rPr>
      <w:rFonts w:ascii="宋体" w:eastAsia="宋体"/>
    </w:rPr>
  </w:style>
  <w:style w:type="paragraph" w:customStyle="1" w:styleId="72">
    <w:name w:val="注：（正文）"/>
    <w:basedOn w:val="65"/>
    <w:next w:val="29"/>
    <w:qFormat/>
    <w:uiPriority w:val="0"/>
  </w:style>
  <w:style w:type="paragraph" w:customStyle="1" w:styleId="73">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7">
    <w:name w:val="标准书眉_偶数页"/>
    <w:basedOn w:val="57"/>
    <w:next w:val="1"/>
    <w:qFormat/>
    <w:uiPriority w:val="0"/>
    <w:pPr>
      <w:jc w:val="left"/>
    </w:p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1">
    <w:name w:val="发布"/>
    <w:basedOn w:val="41"/>
    <w:qFormat/>
    <w:uiPriority w:val="0"/>
    <w:rPr>
      <w:rFonts w:ascii="黑体" w:eastAsia="黑体"/>
      <w:spacing w:val="85"/>
      <w:w w:val="100"/>
      <w:position w:val="3"/>
      <w:sz w:val="28"/>
      <w:szCs w:val="28"/>
    </w:rPr>
  </w:style>
  <w:style w:type="paragraph" w:customStyle="1" w:styleId="82">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spacing w:before="370" w:line="400" w:lineRule="exact"/>
    </w:pPr>
    <w:rPr>
      <w:rFonts w:ascii="Times New Roman"/>
      <w:sz w:val="28"/>
      <w:szCs w:val="28"/>
    </w:rPr>
  </w:style>
  <w:style w:type="paragraph" w:customStyle="1" w:styleId="88">
    <w:name w:val="封面一致性程度标识"/>
    <w:basedOn w:val="87"/>
    <w:qFormat/>
    <w:uiPriority w:val="0"/>
    <w:pPr>
      <w:spacing w:before="440"/>
    </w:pPr>
    <w:rPr>
      <w:rFonts w:ascii="宋体" w:eastAsia="宋体"/>
    </w:rPr>
  </w:style>
  <w:style w:type="paragraph" w:customStyle="1" w:styleId="89">
    <w:name w:val="封面标准文稿类别"/>
    <w:basedOn w:val="88"/>
    <w:qFormat/>
    <w:uiPriority w:val="0"/>
    <w:pPr>
      <w:spacing w:after="160" w:line="240" w:lineRule="auto"/>
    </w:pPr>
    <w:rPr>
      <w:sz w:val="24"/>
    </w:rPr>
  </w:style>
  <w:style w:type="paragraph" w:customStyle="1" w:styleId="90">
    <w:name w:val="封面标准文稿编辑信息"/>
    <w:basedOn w:val="89"/>
    <w:qFormat/>
    <w:uiPriority w:val="0"/>
    <w:pPr>
      <w:spacing w:before="180" w:line="180" w:lineRule="exact"/>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标识"/>
    <w:basedOn w:val="1"/>
    <w:next w:val="29"/>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3">
    <w:name w:val="附录标题"/>
    <w:basedOn w:val="29"/>
    <w:next w:val="29"/>
    <w:qFormat/>
    <w:uiPriority w:val="0"/>
    <w:pPr>
      <w:ind w:firstLine="0" w:firstLineChars="0"/>
      <w:jc w:val="center"/>
    </w:pPr>
    <w:rPr>
      <w:rFonts w:ascii="黑体" w:eastAsia="黑体"/>
    </w:rPr>
  </w:style>
  <w:style w:type="paragraph" w:customStyle="1" w:styleId="94">
    <w:name w:val="附录表标号"/>
    <w:basedOn w:val="1"/>
    <w:next w:val="29"/>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5">
    <w:name w:val="附录表标题"/>
    <w:basedOn w:val="1"/>
    <w:next w:val="29"/>
    <w:qFormat/>
    <w:uiPriority w:val="0"/>
    <w:pPr>
      <w:numPr>
        <w:ilvl w:val="1"/>
        <w:numId w:val="12"/>
      </w:numPr>
      <w:spacing w:beforeLines="50" w:afterLines="50"/>
      <w:jc w:val="center"/>
    </w:pPr>
    <w:rPr>
      <w:rFonts w:ascii="黑体" w:eastAsia="黑体"/>
      <w:szCs w:val="21"/>
    </w:rPr>
  </w:style>
  <w:style w:type="paragraph" w:customStyle="1" w:styleId="96">
    <w:name w:val="附录二级条标题"/>
    <w:basedOn w:val="1"/>
    <w:next w:val="29"/>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7">
    <w:name w:val="附录二级无"/>
    <w:basedOn w:val="96"/>
    <w:qFormat/>
    <w:uiPriority w:val="0"/>
    <w:pPr>
      <w:tabs>
        <w:tab w:val="clear" w:pos="360"/>
      </w:tabs>
      <w:spacing w:beforeLines="0" w:afterLines="0"/>
    </w:pPr>
    <w:rPr>
      <w:rFonts w:ascii="宋体" w:eastAsia="宋体"/>
      <w:szCs w:val="21"/>
    </w:rPr>
  </w:style>
  <w:style w:type="paragraph" w:customStyle="1" w:styleId="98">
    <w:name w:val="附录公式"/>
    <w:basedOn w:val="29"/>
    <w:next w:val="29"/>
    <w:link w:val="99"/>
    <w:qFormat/>
    <w:uiPriority w:val="0"/>
  </w:style>
  <w:style w:type="character" w:customStyle="1" w:styleId="99">
    <w:name w:val="附录公式 Char"/>
    <w:basedOn w:val="54"/>
    <w:link w:val="98"/>
    <w:qFormat/>
    <w:uiPriority w:val="0"/>
    <w:rPr>
      <w:rFonts w:ascii="宋体"/>
      <w:sz w:val="21"/>
      <w:lang w:val="en-US" w:eastAsia="zh-CN" w:bidi="ar-SA"/>
    </w:rPr>
  </w:style>
  <w:style w:type="paragraph" w:customStyle="1" w:styleId="100">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三级条标题"/>
    <w:basedOn w:val="96"/>
    <w:next w:val="29"/>
    <w:qFormat/>
    <w:uiPriority w:val="0"/>
    <w:pPr>
      <w:numPr>
        <w:ilvl w:val="4"/>
      </w:numPr>
      <w:outlineLvl w:val="4"/>
    </w:pPr>
  </w:style>
  <w:style w:type="paragraph" w:customStyle="1" w:styleId="102">
    <w:name w:val="附录三级无"/>
    <w:basedOn w:val="101"/>
    <w:qFormat/>
    <w:uiPriority w:val="0"/>
    <w:pPr>
      <w:tabs>
        <w:tab w:val="clear" w:pos="360"/>
      </w:tabs>
      <w:spacing w:beforeLines="0" w:afterLines="0"/>
    </w:pPr>
    <w:rPr>
      <w:rFonts w:ascii="宋体" w:eastAsia="宋体"/>
      <w:szCs w:val="21"/>
    </w:rPr>
  </w:style>
  <w:style w:type="paragraph" w:customStyle="1" w:styleId="103">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4">
    <w:name w:val="附录四级条标题"/>
    <w:basedOn w:val="101"/>
    <w:next w:val="29"/>
    <w:qFormat/>
    <w:uiPriority w:val="0"/>
    <w:pPr>
      <w:numPr>
        <w:ilvl w:val="5"/>
      </w:numPr>
      <w:outlineLvl w:val="5"/>
    </w:pPr>
  </w:style>
  <w:style w:type="paragraph" w:customStyle="1" w:styleId="105">
    <w:name w:val="附录四级无"/>
    <w:basedOn w:val="104"/>
    <w:qFormat/>
    <w:uiPriority w:val="0"/>
    <w:pPr>
      <w:tabs>
        <w:tab w:val="clear" w:pos="360"/>
      </w:tabs>
      <w:spacing w:beforeLines="0" w:afterLines="0"/>
    </w:pPr>
    <w:rPr>
      <w:rFonts w:ascii="宋体" w:eastAsia="宋体"/>
      <w:szCs w:val="21"/>
    </w:rPr>
  </w:style>
  <w:style w:type="paragraph" w:customStyle="1" w:styleId="10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7">
    <w:name w:val="附录图标题"/>
    <w:basedOn w:val="1"/>
    <w:next w:val="29"/>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8">
    <w:name w:val="附录五级条标题"/>
    <w:basedOn w:val="104"/>
    <w:next w:val="29"/>
    <w:qFormat/>
    <w:uiPriority w:val="0"/>
    <w:pPr>
      <w:numPr>
        <w:ilvl w:val="6"/>
      </w:numPr>
      <w:outlineLvl w:val="6"/>
    </w:pPr>
  </w:style>
  <w:style w:type="paragraph" w:customStyle="1" w:styleId="109">
    <w:name w:val="附录五级无"/>
    <w:basedOn w:val="108"/>
    <w:qFormat/>
    <w:uiPriority w:val="0"/>
    <w:pPr>
      <w:tabs>
        <w:tab w:val="clear" w:pos="360"/>
      </w:tabs>
      <w:spacing w:beforeLines="0" w:afterLines="0"/>
    </w:pPr>
    <w:rPr>
      <w:rFonts w:ascii="宋体" w:eastAsia="宋体"/>
      <w:szCs w:val="21"/>
    </w:rPr>
  </w:style>
  <w:style w:type="paragraph" w:customStyle="1" w:styleId="110">
    <w:name w:val="附录章标题"/>
    <w:next w:val="29"/>
    <w:qFormat/>
    <w:uiPriority w:val="0"/>
    <w:pPr>
      <w:numPr>
        <w:ilvl w:val="1"/>
        <w:numId w:val="1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29"/>
    <w:qFormat/>
    <w:uiPriority w:val="0"/>
    <w:pPr>
      <w:numPr>
        <w:ilvl w:val="2"/>
      </w:numPr>
      <w:autoSpaceDN w:val="0"/>
      <w:spacing w:beforeLines="50" w:afterLines="50"/>
      <w:outlineLvl w:val="2"/>
    </w:pPr>
  </w:style>
  <w:style w:type="paragraph" w:customStyle="1" w:styleId="112">
    <w:name w:val="附录一级无"/>
    <w:basedOn w:val="111"/>
    <w:qFormat/>
    <w:uiPriority w:val="0"/>
    <w:pPr>
      <w:spacing w:beforeLines="0" w:afterLines="0"/>
    </w:pPr>
    <w:rPr>
      <w:rFonts w:ascii="宋体" w:eastAsia="宋体"/>
      <w:szCs w:val="21"/>
    </w:rPr>
  </w:style>
  <w:style w:type="paragraph" w:customStyle="1" w:styleId="113">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其他标准标志"/>
    <w:basedOn w:val="74"/>
    <w:qFormat/>
    <w:uiPriority w:val="0"/>
    <w:pPr>
      <w:framePr w:w="6101" w:vAnchor="page" w:hAnchor="page" w:x="4673" w:y="942"/>
    </w:pPr>
    <w:rPr>
      <w:w w:val="130"/>
    </w:rPr>
  </w:style>
  <w:style w:type="paragraph" w:customStyle="1" w:styleId="1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9">
    <w:name w:val="其他发布部门"/>
    <w:basedOn w:val="82"/>
    <w:qFormat/>
    <w:uiPriority w:val="0"/>
    <w:pPr>
      <w:framePr w:y="15310"/>
      <w:spacing w:line="0" w:lineRule="atLeast"/>
    </w:pPr>
    <w:rPr>
      <w:rFonts w:ascii="黑体" w:eastAsia="黑体"/>
      <w:b w:val="0"/>
    </w:rPr>
  </w:style>
  <w:style w:type="paragraph" w:customStyle="1" w:styleId="120">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1">
    <w:name w:val="实施日期"/>
    <w:basedOn w:val="83"/>
    <w:qFormat/>
    <w:uiPriority w:val="0"/>
    <w:pPr>
      <w:framePr w:vAnchor="page" w:hAnchor="text"/>
      <w:jc w:val="right"/>
    </w:pPr>
  </w:style>
  <w:style w:type="paragraph" w:customStyle="1" w:styleId="122">
    <w:name w:val="示例后文字"/>
    <w:basedOn w:val="29"/>
    <w:next w:val="29"/>
    <w:qFormat/>
    <w:uiPriority w:val="0"/>
    <w:pPr>
      <w:ind w:firstLine="360"/>
    </w:pPr>
    <w:rPr>
      <w:sz w:val="18"/>
    </w:rPr>
  </w:style>
  <w:style w:type="paragraph" w:customStyle="1" w:styleId="123">
    <w:name w:val="首示例"/>
    <w:next w:val="29"/>
    <w:link w:val="124"/>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4">
    <w:name w:val="首示例 Char"/>
    <w:basedOn w:val="41"/>
    <w:link w:val="123"/>
    <w:qFormat/>
    <w:uiPriority w:val="0"/>
    <w:rPr>
      <w:rFonts w:ascii="宋体" w:hAnsi="宋体"/>
      <w:kern w:val="2"/>
      <w:sz w:val="18"/>
      <w:szCs w:val="18"/>
    </w:rPr>
  </w:style>
  <w:style w:type="paragraph" w:customStyle="1" w:styleId="125">
    <w:name w:val="四级无"/>
    <w:basedOn w:val="52"/>
    <w:qFormat/>
    <w:uiPriority w:val="0"/>
    <w:pPr>
      <w:spacing w:beforeLines="0" w:afterLines="0"/>
    </w:pPr>
    <w:rPr>
      <w:rFonts w:ascii="宋体" w:eastAsia="宋体"/>
    </w:rPr>
  </w:style>
  <w:style w:type="paragraph" w:customStyle="1" w:styleId="126">
    <w:name w:val="条文脚注"/>
    <w:basedOn w:val="30"/>
    <w:qFormat/>
    <w:uiPriority w:val="0"/>
    <w:pPr>
      <w:numPr>
        <w:numId w:val="0"/>
      </w:numPr>
      <w:jc w:val="both"/>
    </w:pPr>
  </w:style>
  <w:style w:type="paragraph" w:customStyle="1" w:styleId="127">
    <w:name w:val="图标脚注说明"/>
    <w:basedOn w:val="29"/>
    <w:qFormat/>
    <w:uiPriority w:val="0"/>
    <w:pPr>
      <w:ind w:left="840" w:hanging="420" w:firstLineChars="0"/>
    </w:pPr>
    <w:rPr>
      <w:sz w:val="18"/>
      <w:szCs w:val="18"/>
    </w:rPr>
  </w:style>
  <w:style w:type="paragraph" w:customStyle="1" w:styleId="128">
    <w:name w:val="图表脚注说明"/>
    <w:basedOn w:val="1"/>
    <w:qFormat/>
    <w:uiPriority w:val="0"/>
    <w:pPr>
      <w:numPr>
        <w:ilvl w:val="0"/>
        <w:numId w:val="16"/>
      </w:numPr>
    </w:pPr>
    <w:rPr>
      <w:rFonts w:ascii="宋体"/>
      <w:sz w:val="18"/>
      <w:szCs w:val="18"/>
    </w:rPr>
  </w:style>
  <w:style w:type="paragraph" w:customStyle="1" w:styleId="129">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53"/>
    <w:qFormat/>
    <w:uiPriority w:val="0"/>
    <w:pPr>
      <w:spacing w:beforeLines="0" w:afterLines="0"/>
    </w:pPr>
    <w:rPr>
      <w:rFonts w:ascii="宋体" w:eastAsia="宋体"/>
    </w:rPr>
  </w:style>
  <w:style w:type="paragraph" w:customStyle="1" w:styleId="132">
    <w:name w:val="一级无"/>
    <w:basedOn w:val="49"/>
    <w:qFormat/>
    <w:uiPriority w:val="0"/>
    <w:pPr>
      <w:spacing w:beforeLines="0" w:afterLines="0"/>
    </w:pPr>
    <w:rPr>
      <w:rFonts w:ascii="宋体" w:eastAsia="宋体"/>
    </w:rPr>
  </w:style>
  <w:style w:type="paragraph" w:customStyle="1" w:styleId="133">
    <w:name w:val="正文表标题"/>
    <w:next w:val="29"/>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9"/>
    <w:next w:val="29"/>
    <w:qFormat/>
    <w:uiPriority w:val="0"/>
    <w:pPr>
      <w:ind w:firstLine="0" w:firstLineChars="0"/>
    </w:pPr>
  </w:style>
  <w:style w:type="paragraph" w:customStyle="1" w:styleId="135">
    <w:name w:val="正文图标题"/>
    <w:next w:val="29"/>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0"/>
    <w:pPr>
      <w:framePr w:hSpace="181" w:vSpace="181" w:wrap="around" w:vAnchor="text" w:hAnchor="margin" w:xAlign="center" w:y="285"/>
    </w:pPr>
  </w:style>
  <w:style w:type="paragraph" w:customStyle="1" w:styleId="137">
    <w:name w:val="其他发布日期"/>
    <w:basedOn w:val="83"/>
    <w:qFormat/>
    <w:uiPriority w:val="0"/>
    <w:pPr>
      <w:framePr w:vAnchor="page" w:hAnchor="text" w:x="1419"/>
    </w:pPr>
  </w:style>
  <w:style w:type="paragraph" w:customStyle="1" w:styleId="138">
    <w:name w:val="其他实施日期"/>
    <w:basedOn w:val="121"/>
    <w:qFormat/>
    <w:uiPriority w:val="0"/>
  </w:style>
  <w:style w:type="paragraph" w:customStyle="1" w:styleId="139">
    <w:name w:val="封面标准名称2"/>
    <w:basedOn w:val="86"/>
    <w:qFormat/>
    <w:uiPriority w:val="0"/>
    <w:pPr>
      <w:framePr w:y="4469"/>
      <w:spacing w:beforeLines="630"/>
    </w:pPr>
  </w:style>
  <w:style w:type="paragraph" w:customStyle="1" w:styleId="140">
    <w:name w:val="封面标准英文名称2"/>
    <w:basedOn w:val="87"/>
    <w:qFormat/>
    <w:uiPriority w:val="0"/>
    <w:pPr>
      <w:framePr w:y="4469"/>
    </w:pPr>
  </w:style>
  <w:style w:type="paragraph" w:customStyle="1" w:styleId="141">
    <w:name w:val="封面一致性程度标识2"/>
    <w:basedOn w:val="88"/>
    <w:qFormat/>
    <w:uiPriority w:val="0"/>
    <w:pPr>
      <w:framePr w:y="4469"/>
    </w:pPr>
  </w:style>
  <w:style w:type="paragraph" w:customStyle="1" w:styleId="142">
    <w:name w:val="封面标准文稿类别2"/>
    <w:basedOn w:val="89"/>
    <w:qFormat/>
    <w:uiPriority w:val="0"/>
    <w:pPr>
      <w:framePr w:y="4469"/>
    </w:pPr>
  </w:style>
  <w:style w:type="paragraph" w:customStyle="1" w:styleId="143">
    <w:name w:val="封面标准文稿编辑信息2"/>
    <w:basedOn w:val="90"/>
    <w:qFormat/>
    <w:uiPriority w:val="0"/>
    <w:pPr>
      <w:framePr w:y="4469"/>
    </w:pPr>
  </w:style>
  <w:style w:type="character" w:customStyle="1" w:styleId="144">
    <w:name w:val="标题 4 Char"/>
    <w:basedOn w:val="41"/>
    <w:link w:val="4"/>
    <w:qFormat/>
    <w:uiPriority w:val="0"/>
    <w:rPr>
      <w:rFonts w:ascii="Cambria" w:hAnsi="Cambria"/>
      <w:b/>
      <w:bCs/>
      <w:kern w:val="2"/>
      <w:sz w:val="28"/>
      <w:szCs w:val="28"/>
    </w:rPr>
  </w:style>
  <w:style w:type="character" w:customStyle="1" w:styleId="145">
    <w:name w:val="正文文本缩进 Char"/>
    <w:basedOn w:val="41"/>
    <w:link w:val="13"/>
    <w:qFormat/>
    <w:uiPriority w:val="0"/>
    <w:rPr>
      <w:rFonts w:ascii="宋体" w:hAnsi="宋体"/>
      <w:bCs/>
      <w:kern w:val="2"/>
      <w:sz w:val="21"/>
      <w:szCs w:val="24"/>
    </w:rPr>
  </w:style>
  <w:style w:type="character" w:customStyle="1" w:styleId="146">
    <w:name w:val="纯文本 Char"/>
    <w:basedOn w:val="41"/>
    <w:link w:val="17"/>
    <w:qFormat/>
    <w:uiPriority w:val="0"/>
    <w:rPr>
      <w:rFonts w:ascii="宋体" w:hAnsi="Courier New"/>
      <w:kern w:val="2"/>
      <w:sz w:val="21"/>
    </w:rPr>
  </w:style>
  <w:style w:type="character" w:customStyle="1" w:styleId="147">
    <w:name w:val="批注框文本 Char"/>
    <w:basedOn w:val="41"/>
    <w:link w:val="22"/>
    <w:qFormat/>
    <w:uiPriority w:val="0"/>
    <w:rPr>
      <w:kern w:val="2"/>
      <w:sz w:val="18"/>
      <w:szCs w:val="18"/>
    </w:rPr>
  </w:style>
  <w:style w:type="character" w:customStyle="1" w:styleId="148">
    <w:name w:val="批注文字 Char"/>
    <w:basedOn w:val="41"/>
    <w:link w:val="10"/>
    <w:qFormat/>
    <w:uiPriority w:val="0"/>
    <w:rPr>
      <w:kern w:val="2"/>
      <w:sz w:val="21"/>
      <w:szCs w:val="24"/>
    </w:rPr>
  </w:style>
  <w:style w:type="character" w:customStyle="1" w:styleId="149">
    <w:name w:val="批注主题 Char"/>
    <w:basedOn w:val="148"/>
    <w:link w:val="38"/>
    <w:qFormat/>
    <w:uiPriority w:val="0"/>
    <w:rPr>
      <w:b/>
      <w:bCs/>
      <w:kern w:val="2"/>
      <w:sz w:val="21"/>
      <w:szCs w:val="24"/>
    </w:rPr>
  </w:style>
  <w:style w:type="paragraph" w:customStyle="1" w:styleId="150">
    <w:name w:val="默认段落字体 Para Char Char Char Char Char Char Char"/>
    <w:basedOn w:val="1"/>
    <w:qFormat/>
    <w:uiPriority w:val="0"/>
    <w:rPr>
      <w:rFonts w:ascii="Calibri" w:hAnsi="Calibri"/>
      <w:szCs w:val="22"/>
    </w:rPr>
  </w:style>
  <w:style w:type="paragraph" w:styleId="15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2">
    <w:name w:val="二级无 Char"/>
    <w:basedOn w:val="41"/>
    <w:link w:val="71"/>
    <w:qFormat/>
    <w:uiPriority w:val="0"/>
    <w:rPr>
      <w:rFonts w:ascii="宋体"/>
      <w:sz w:val="21"/>
      <w:szCs w:val="21"/>
    </w:rPr>
  </w:style>
  <w:style w:type="character" w:customStyle="1" w:styleId="153">
    <w:name w:val="样式1 Char"/>
    <w:link w:val="154"/>
    <w:qFormat/>
    <w:uiPriority w:val="0"/>
    <w:rPr>
      <w:rFonts w:ascii="仿宋_GB2312" w:hAnsi="宋体" w:eastAsia="仿宋_GB2312"/>
      <w:sz w:val="28"/>
      <w:szCs w:val="28"/>
    </w:rPr>
  </w:style>
  <w:style w:type="paragraph" w:customStyle="1" w:styleId="154">
    <w:name w:val="样式1"/>
    <w:basedOn w:val="1"/>
    <w:link w:val="153"/>
    <w:qFormat/>
    <w:uiPriority w:val="0"/>
    <w:pPr>
      <w:ind w:firstLine="200" w:firstLineChars="200"/>
    </w:pPr>
    <w:rPr>
      <w:rFonts w:ascii="仿宋_GB2312" w:hAnsi="宋体" w:eastAsia="仿宋_GB2312"/>
      <w:sz w:val="28"/>
      <w:szCs w:val="28"/>
    </w:rPr>
  </w:style>
  <w:style w:type="paragraph" w:customStyle="1" w:styleId="155">
    <w:name w:val="样式2"/>
    <w:basedOn w:val="1"/>
    <w:qFormat/>
    <w:uiPriority w:val="0"/>
    <w:pPr>
      <w:ind w:firstLine="420" w:firstLineChars="200"/>
    </w:pPr>
    <w:rPr>
      <w:rFonts w:ascii="仿宋_GB2312" w:eastAsia="仿宋_GB2312"/>
    </w:rPr>
  </w:style>
  <w:style w:type="character" w:customStyle="1" w:styleId="156">
    <w:name w:val="font21"/>
    <w:basedOn w:val="41"/>
    <w:qFormat/>
    <w:uiPriority w:val="0"/>
    <w:rPr>
      <w:rFonts w:hint="default" w:ascii="仿宋_GB2312" w:eastAsia="仿宋_GB2312" w:cs="仿宋_GB2312"/>
      <w:color w:val="000000"/>
      <w:sz w:val="21"/>
      <w:szCs w:val="21"/>
      <w:u w:val="none"/>
    </w:rPr>
  </w:style>
  <w:style w:type="character" w:customStyle="1" w:styleId="157">
    <w:name w:val="font31"/>
    <w:basedOn w:val="41"/>
    <w:qFormat/>
    <w:uiPriority w:val="0"/>
    <w:rPr>
      <w:rFonts w:hint="default" w:ascii="仿宋_GB2312" w:eastAsia="仿宋_GB2312" w:cs="仿宋_GB2312"/>
      <w:b/>
      <w:bCs/>
      <w:color w:val="000000"/>
      <w:sz w:val="21"/>
      <w:szCs w:val="21"/>
      <w:u w:val="none"/>
    </w:rPr>
  </w:style>
  <w:style w:type="character" w:customStyle="1" w:styleId="158">
    <w:name w:val="font01"/>
    <w:basedOn w:val="41"/>
    <w:qFormat/>
    <w:uiPriority w:val="0"/>
    <w:rPr>
      <w:rFonts w:ascii="仿宋" w:hAnsi="仿宋" w:eastAsia="仿宋" w:cs="仿宋"/>
      <w:b/>
      <w:bCs/>
      <w:color w:val="000000"/>
      <w:sz w:val="20"/>
      <w:szCs w:val="20"/>
      <w:u w:val="none"/>
    </w:rPr>
  </w:style>
  <w:style w:type="character" w:customStyle="1" w:styleId="159">
    <w:name w:val="font41"/>
    <w:basedOn w:val="41"/>
    <w:qFormat/>
    <w:uiPriority w:val="0"/>
    <w:rPr>
      <w:rFonts w:hint="default" w:ascii="Times New Roman" w:hAnsi="Times New Roman" w:cs="Times New Roman"/>
      <w:b/>
      <w:bCs/>
      <w:color w:val="000000"/>
      <w:sz w:val="20"/>
      <w:szCs w:val="20"/>
      <w:u w:val="none"/>
    </w:rPr>
  </w:style>
  <w:style w:type="character" w:customStyle="1" w:styleId="160">
    <w:name w:val="font11"/>
    <w:basedOn w:val="41"/>
    <w:qFormat/>
    <w:uiPriority w:val="0"/>
    <w:rPr>
      <w:rFonts w:hint="default" w:ascii="仿宋_GB2312" w:eastAsia="仿宋_GB2312" w:cs="仿宋_GB2312"/>
      <w:color w:val="000000"/>
      <w:sz w:val="21"/>
      <w:szCs w:val="21"/>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8ABA6-354D-4290-9B38-A2E0C8470900}">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14</Pages>
  <Words>10431</Words>
  <Characters>10782</Characters>
  <Lines>102</Lines>
  <Paragraphs>28</Paragraphs>
  <TotalTime>9</TotalTime>
  <ScaleCrop>false</ScaleCrop>
  <LinksUpToDate>false</LinksUpToDate>
  <CharactersWithSpaces>11098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2017-04-18T06:15:00Z</dcterms:created>
  <dc:creator>张鹏</dc:creator>
  <cp:lastModifiedBy>玲俐</cp:lastModifiedBy>
  <cp:lastPrinted>2017-04-18T05:43:00Z</cp:lastPrinted>
  <dcterms:modified xsi:type="dcterms:W3CDTF">2024-09-18T07:03:52Z</dcterms:modified>
  <dc:title>标准名称</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29032522DF9441FC8516177158FA631A_13</vt:lpwstr>
  </property>
</Properties>
</file>