
<file path=[Content_Types].xml><?xml version="1.0" encoding="utf-8"?>
<Types xmlns="http://schemas.openxmlformats.org/package/2006/content-types">
  <Default Extension="gif" ContentType="image/gi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1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tblCellSpacing w:w="0" w:type="dxa"/>
        </w:trPr>
        <w:tc>
          <w:tcPr>
            <w:tcW w:w="0" w:type="auto"/>
            <w:shd w:val="clear" w:color="auto" w:fill="FFFFFF"/>
            <w:vAlign w:val="center"/>
          </w:tcPr>
          <w:p>
            <w:pPr>
              <w:keepNext w:val="0"/>
              <w:keepLines w:val="0"/>
              <w:widowControl/>
              <w:suppressLineNumbers w:val="0"/>
              <w:spacing w:line="390" w:lineRule="atLeast"/>
              <w:jc w:val="center"/>
              <w:rPr>
                <w:rFonts w:hint="eastAsia" w:ascii="宋体" w:hAnsi="宋体" w:eastAsia="宋体" w:cs="宋体"/>
                <w:b/>
                <w:bCs/>
                <w:caps w:val="0"/>
                <w:color w:val="003CC8"/>
                <w:spacing w:val="0"/>
                <w:sz w:val="36"/>
                <w:szCs w:val="36"/>
                <w:u w:val="none"/>
              </w:rPr>
            </w:pPr>
            <w:bookmarkStart w:id="0" w:name="_GoBack"/>
            <w:r>
              <w:rPr>
                <w:rFonts w:hint="eastAsia" w:ascii="宋体" w:hAnsi="宋体" w:eastAsia="宋体" w:cs="宋体"/>
                <w:b/>
                <w:bCs/>
                <w:caps w:val="0"/>
                <w:color w:val="003CC8"/>
                <w:spacing w:val="0"/>
                <w:kern w:val="0"/>
                <w:sz w:val="36"/>
                <w:szCs w:val="36"/>
                <w:u w:val="none"/>
                <w:lang w:val="en-US" w:eastAsia="zh-CN" w:bidi="ar"/>
              </w:rPr>
              <w:t>吉林中百商厦火灾事故</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B9B9B9"/>
            <w:vAlign w:val="center"/>
          </w:tcPr>
          <w:p>
            <w:pPr>
              <w:keepNext w:val="0"/>
              <w:keepLines w:val="0"/>
              <w:widowControl/>
              <w:suppressLineNumbers w:val="0"/>
              <w:shd w:val="clear" w:fill="B9B9B9"/>
              <w:jc w:val="center"/>
              <w:rPr>
                <w:rFonts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drawing>
                <wp:inline distT="0" distB="0" distL="114300" distR="114300">
                  <wp:extent cx="9525" cy="952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jc w:val="center"/>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drawing>
                <wp:inline distT="0" distB="0" distL="114300" distR="114300">
                  <wp:extent cx="9525" cy="952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trPr>
        <w:tc>
          <w:tcPr>
            <w:tcW w:w="0" w:type="auto"/>
            <w:shd w:val="clear" w:color="auto" w:fill="E7E7E7"/>
            <w:vAlign w:val="center"/>
          </w:tcPr>
          <w:p>
            <w:pPr>
              <w:keepNext w:val="0"/>
              <w:keepLines w:val="0"/>
              <w:widowControl/>
              <w:suppressLineNumbers w:val="0"/>
              <w:shd w:val="clear" w:fill="E7E7E7"/>
              <w:spacing w:line="234" w:lineRule="atLeast"/>
              <w:jc w:val="center"/>
              <w:rPr>
                <w:rFonts w:hint="eastAsia" w:ascii="宋体" w:hAnsi="宋体" w:eastAsia="宋体" w:cs="宋体"/>
                <w:caps w:val="0"/>
                <w:color w:val="000000"/>
                <w:spacing w:val="0"/>
                <w:sz w:val="18"/>
                <w:szCs w:val="18"/>
                <w:u w:val="none"/>
              </w:rPr>
            </w:pPr>
            <w:r>
              <w:rPr>
                <w:rFonts w:hint="eastAsia" w:ascii="宋体" w:hAnsi="宋体" w:eastAsia="宋体" w:cs="宋体"/>
                <w:caps w:val="0"/>
                <w:color w:val="000000"/>
                <w:spacing w:val="0"/>
                <w:kern w:val="0"/>
                <w:sz w:val="18"/>
                <w:szCs w:val="18"/>
                <w:u w:val="none"/>
                <w:lang w:val="en-US" w:eastAsia="zh-CN" w:bidi="ar"/>
              </w:rPr>
              <w:t>中央政府门户网站　www.gov.cn　　 2005年08月09日　　 来源：国务院应急管理办公室</w:t>
            </w:r>
          </w:p>
        </w:tc>
      </w:tr>
    </w:tbl>
    <w:p>
      <w:pPr>
        <w:rPr>
          <w:vanish/>
          <w:sz w:val="24"/>
          <w:szCs w:val="24"/>
        </w:rPr>
      </w:pPr>
    </w:p>
    <w:tbl>
      <w:tblPr>
        <w:tblW w:w="12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rPr>
                <w:rFonts w:hint="eastAsia" w:ascii="微软雅黑" w:hAnsi="微软雅黑" w:eastAsia="微软雅黑" w:cs="微软雅黑"/>
                <w:caps w:val="0"/>
                <w:spacing w:val="0"/>
                <w:sz w:val="24"/>
                <w:szCs w:val="24"/>
              </w:rPr>
            </w:pPr>
          </w:p>
        </w:tc>
      </w:tr>
    </w:tbl>
    <w:p>
      <w:pPr>
        <w:rPr>
          <w:vanish/>
          <w:sz w:val="24"/>
          <w:szCs w:val="24"/>
        </w:rPr>
      </w:pPr>
    </w:p>
    <w:tbl>
      <w:tblPr>
        <w:tblW w:w="739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40"/>
        <w:gridCol w:w="3105"/>
        <w:gridCol w:w="150"/>
        <w:gridCol w:w="120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FFFFF"/>
            <w:vAlign w:val="center"/>
          </w:tcPr>
          <w:tbl>
            <w:tblPr>
              <w:tblW w:w="1350" w:type="dxa"/>
              <w:jc w:val="right"/>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right"/>
              </w:trPr>
              <w:tc>
                <w:tcPr>
                  <w:tcW w:w="0" w:type="auto"/>
                  <w:shd w:val="clear"/>
                  <w:vAlign w:val="center"/>
                </w:tcPr>
                <w:p>
                  <w:pPr>
                    <w:rPr>
                      <w:rFonts w:hint="eastAsia" w:ascii="宋体"/>
                      <w:sz w:val="24"/>
                      <w:szCs w:val="24"/>
                    </w:rPr>
                  </w:pPr>
                </w:p>
              </w:tc>
            </w:tr>
          </w:tbl>
          <w:p>
            <w:pPr>
              <w:keepNext w:val="0"/>
              <w:keepLines w:val="0"/>
              <w:widowControl/>
              <w:suppressLineNumbers w:val="0"/>
              <w:spacing w:line="240" w:lineRule="atLeast"/>
              <w:jc w:val="right"/>
              <w:rPr>
                <w:rFonts w:hint="eastAsia" w:ascii="宋体" w:hAnsi="宋体" w:eastAsia="宋体" w:cs="宋体"/>
                <w:caps w:val="0"/>
                <w:color w:val="003CC8"/>
                <w:spacing w:val="0"/>
                <w:sz w:val="18"/>
                <w:szCs w:val="18"/>
                <w:u w:val="none"/>
              </w:rPr>
            </w:pPr>
            <w:r>
              <w:rPr>
                <w:rFonts w:hint="eastAsia" w:ascii="宋体" w:hAnsi="宋体" w:eastAsia="宋体" w:cs="宋体"/>
                <w:caps w:val="0"/>
                <w:color w:val="003CC8"/>
                <w:spacing w:val="0"/>
                <w:kern w:val="0"/>
                <w:sz w:val="18"/>
                <w:szCs w:val="18"/>
                <w:u w:val="none"/>
                <w:lang w:val="en-US" w:eastAsia="zh-CN" w:bidi="ar"/>
              </w:rPr>
              <w:t>【字体：</w:t>
            </w:r>
            <w:r>
              <w:rPr>
                <w:rFonts w:hint="eastAsia" w:ascii="宋体" w:hAnsi="宋体" w:eastAsia="宋体" w:cs="宋体"/>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caps w:val="0"/>
                <w:color w:val="000000"/>
                <w:spacing w:val="0"/>
                <w:kern w:val="0"/>
                <w:sz w:val="18"/>
                <w:szCs w:val="18"/>
                <w:u w:val="none"/>
                <w:bdr w:val="none" w:color="auto" w:sz="0" w:space="0"/>
                <w:lang w:val="en-US" w:eastAsia="zh-CN" w:bidi="ar"/>
              </w:rPr>
              <w:instrText xml:space="preserve"> HYPERLINK "https://www.gov.cn/yjgl/2005-08/09/content_21385.htm" </w:instrText>
            </w:r>
            <w:r>
              <w:rPr>
                <w:rFonts w:hint="eastAsia" w:ascii="宋体" w:hAnsi="宋体" w:eastAsia="宋体" w:cs="宋体"/>
                <w:caps w:val="0"/>
                <w:color w:val="000000"/>
                <w:spacing w:val="0"/>
                <w:kern w:val="0"/>
                <w:sz w:val="18"/>
                <w:szCs w:val="18"/>
                <w:u w:val="none"/>
                <w:bdr w:val="none" w:color="auto" w:sz="0" w:space="0"/>
                <w:lang w:val="en-US" w:eastAsia="zh-CN" w:bidi="ar"/>
              </w:rPr>
              <w:fldChar w:fldCharType="separate"/>
            </w:r>
            <w:r>
              <w:rPr>
                <w:rStyle w:val="5"/>
                <w:rFonts w:hint="eastAsia" w:ascii="宋体" w:hAnsi="宋体" w:eastAsia="宋体" w:cs="宋体"/>
                <w:caps w:val="0"/>
                <w:color w:val="000000"/>
                <w:spacing w:val="0"/>
                <w:sz w:val="18"/>
                <w:szCs w:val="18"/>
                <w:u w:val="none"/>
                <w:bdr w:val="none" w:color="auto" w:sz="0" w:space="0"/>
              </w:rPr>
              <w:t>大</w:t>
            </w:r>
            <w:r>
              <w:rPr>
                <w:rFonts w:hint="eastAsia" w:ascii="宋体" w:hAnsi="宋体" w:eastAsia="宋体" w:cs="宋体"/>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caps w:val="0"/>
                <w:color w:val="003CC8"/>
                <w:spacing w:val="0"/>
                <w:kern w:val="0"/>
                <w:sz w:val="18"/>
                <w:szCs w:val="18"/>
                <w:u w:val="none"/>
                <w:lang w:val="en-US" w:eastAsia="zh-CN" w:bidi="ar"/>
              </w:rPr>
              <w:t> </w:t>
            </w:r>
            <w:r>
              <w:rPr>
                <w:rFonts w:hint="eastAsia" w:ascii="宋体" w:hAnsi="宋体" w:eastAsia="宋体" w:cs="宋体"/>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caps w:val="0"/>
                <w:color w:val="000000"/>
                <w:spacing w:val="0"/>
                <w:kern w:val="0"/>
                <w:sz w:val="18"/>
                <w:szCs w:val="18"/>
                <w:u w:val="none"/>
                <w:bdr w:val="none" w:color="auto" w:sz="0" w:space="0"/>
                <w:lang w:val="en-US" w:eastAsia="zh-CN" w:bidi="ar"/>
              </w:rPr>
              <w:instrText xml:space="preserve"> HYPERLINK "https://www.gov.cn/yjgl/2005-08/09/content_21385.htm" </w:instrText>
            </w:r>
            <w:r>
              <w:rPr>
                <w:rFonts w:hint="eastAsia" w:ascii="宋体" w:hAnsi="宋体" w:eastAsia="宋体" w:cs="宋体"/>
                <w:caps w:val="0"/>
                <w:color w:val="000000"/>
                <w:spacing w:val="0"/>
                <w:kern w:val="0"/>
                <w:sz w:val="18"/>
                <w:szCs w:val="18"/>
                <w:u w:val="none"/>
                <w:bdr w:val="none" w:color="auto" w:sz="0" w:space="0"/>
                <w:lang w:val="en-US" w:eastAsia="zh-CN" w:bidi="ar"/>
              </w:rPr>
              <w:fldChar w:fldCharType="separate"/>
            </w:r>
            <w:r>
              <w:rPr>
                <w:rStyle w:val="5"/>
                <w:rFonts w:hint="eastAsia" w:ascii="宋体" w:hAnsi="宋体" w:eastAsia="宋体" w:cs="宋体"/>
                <w:caps w:val="0"/>
                <w:color w:val="000000"/>
                <w:spacing w:val="0"/>
                <w:sz w:val="18"/>
                <w:szCs w:val="18"/>
                <w:u w:val="none"/>
                <w:bdr w:val="none" w:color="auto" w:sz="0" w:space="0"/>
              </w:rPr>
              <w:t>中</w:t>
            </w:r>
            <w:r>
              <w:rPr>
                <w:rFonts w:hint="eastAsia" w:ascii="宋体" w:hAnsi="宋体" w:eastAsia="宋体" w:cs="宋体"/>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caps w:val="0"/>
                <w:color w:val="003CC8"/>
                <w:spacing w:val="0"/>
                <w:kern w:val="0"/>
                <w:sz w:val="18"/>
                <w:szCs w:val="18"/>
                <w:u w:val="none"/>
                <w:lang w:val="en-US" w:eastAsia="zh-CN" w:bidi="ar"/>
              </w:rPr>
              <w:t> </w:t>
            </w:r>
            <w:r>
              <w:rPr>
                <w:rFonts w:hint="eastAsia" w:ascii="宋体" w:hAnsi="宋体" w:eastAsia="宋体" w:cs="宋体"/>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caps w:val="0"/>
                <w:color w:val="000000"/>
                <w:spacing w:val="0"/>
                <w:kern w:val="0"/>
                <w:sz w:val="18"/>
                <w:szCs w:val="18"/>
                <w:u w:val="none"/>
                <w:bdr w:val="none" w:color="auto" w:sz="0" w:space="0"/>
                <w:lang w:val="en-US" w:eastAsia="zh-CN" w:bidi="ar"/>
              </w:rPr>
              <w:instrText xml:space="preserve"> HYPERLINK "https://www.gov.cn/yjgl/2005-08/09/content_21385.htm" </w:instrText>
            </w:r>
            <w:r>
              <w:rPr>
                <w:rFonts w:hint="eastAsia" w:ascii="宋体" w:hAnsi="宋体" w:eastAsia="宋体" w:cs="宋体"/>
                <w:caps w:val="0"/>
                <w:color w:val="000000"/>
                <w:spacing w:val="0"/>
                <w:kern w:val="0"/>
                <w:sz w:val="18"/>
                <w:szCs w:val="18"/>
                <w:u w:val="none"/>
                <w:bdr w:val="none" w:color="auto" w:sz="0" w:space="0"/>
                <w:lang w:val="en-US" w:eastAsia="zh-CN" w:bidi="ar"/>
              </w:rPr>
              <w:fldChar w:fldCharType="separate"/>
            </w:r>
            <w:r>
              <w:rPr>
                <w:rStyle w:val="5"/>
                <w:rFonts w:hint="eastAsia" w:ascii="宋体" w:hAnsi="宋体" w:eastAsia="宋体" w:cs="宋体"/>
                <w:caps w:val="0"/>
                <w:color w:val="000000"/>
                <w:spacing w:val="0"/>
                <w:sz w:val="18"/>
                <w:szCs w:val="18"/>
                <w:u w:val="none"/>
                <w:bdr w:val="none" w:color="auto" w:sz="0" w:space="0"/>
              </w:rPr>
              <w:t>小</w:t>
            </w:r>
            <w:r>
              <w:rPr>
                <w:rFonts w:hint="eastAsia" w:ascii="宋体" w:hAnsi="宋体" w:eastAsia="宋体" w:cs="宋体"/>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caps w:val="0"/>
                <w:color w:val="003CC8"/>
                <w:spacing w:val="0"/>
                <w:kern w:val="0"/>
                <w:sz w:val="18"/>
                <w:szCs w:val="18"/>
                <w:u w:val="none"/>
                <w:lang w:val="en-US" w:eastAsia="zh-CN" w:bidi="ar"/>
              </w:rPr>
              <w:t>】</w:t>
            </w:r>
          </w:p>
        </w:tc>
        <w:tc>
          <w:tcPr>
            <w:tcW w:w="3000" w:type="dxa"/>
            <w:shd w:val="clear" w:color="auto" w:fill="FFFFFF"/>
            <w:vAlign w:val="center"/>
          </w:tcPr>
          <w:tbl>
            <w:tblPr>
              <w:tblW w:w="750" w:type="dxa"/>
              <w:jc w:val="right"/>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right"/>
              </w:trPr>
              <w:tc>
                <w:tcPr>
                  <w:tcW w:w="0" w:type="auto"/>
                  <w:shd w:val="clear"/>
                  <w:vAlign w:val="center"/>
                </w:tcPr>
                <w:p>
                  <w:pPr>
                    <w:rPr>
                      <w:rFonts w:hint="eastAsia" w:ascii="宋体"/>
                      <w:sz w:val="24"/>
                      <w:szCs w:val="24"/>
                    </w:rPr>
                  </w:pPr>
                </w:p>
              </w:tc>
            </w:tr>
          </w:tbl>
          <w:p>
            <w:pPr>
              <w:pStyle w:val="6"/>
            </w:pPr>
            <w:r>
              <w:t>窗体顶端</w:t>
            </w:r>
          </w:p>
          <w:tbl>
            <w:tblPr>
              <w:tblW w:w="5000" w:type="pct"/>
              <w:jc w:val="right"/>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0"/>
              <w:gridCol w:w="2205"/>
              <w:gridCol w:w="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blCellSpacing w:w="0" w:type="dxa"/>
                <w:jc w:val="right"/>
              </w:trPr>
              <w:tc>
                <w:tcPr>
                  <w:tcW w:w="0" w:type="auto"/>
                  <w:tcBorders>
                    <w:top w:val="nil"/>
                    <w:left w:val="nil"/>
                    <w:bottom w:val="nil"/>
                    <w:right w:val="nil"/>
                  </w:tcBorders>
                  <w:shd w:val="clear"/>
                  <w:vAlign w:val="center"/>
                </w:tcPr>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rPr>
                            <w:rFonts w:hint="eastAsia" w:ascii="宋体"/>
                            <w:sz w:val="24"/>
                            <w:szCs w:val="24"/>
                          </w:rPr>
                        </w:pPr>
                      </w:p>
                    </w:tc>
                  </w:tr>
                </w:tbl>
                <w:p>
                  <w:pPr>
                    <w:keepNext w:val="0"/>
                    <w:keepLines w:val="0"/>
                    <w:widowControl/>
                    <w:suppressLineNumbers w:val="0"/>
                    <w:spacing w:line="240" w:lineRule="atLeast"/>
                    <w:jc w:val="left"/>
                    <w:rPr>
                      <w:rFonts w:hint="eastAsia" w:ascii="宋体" w:hAnsi="宋体" w:eastAsia="宋体" w:cs="宋体"/>
                      <w:color w:val="003CC8"/>
                      <w:sz w:val="18"/>
                      <w:szCs w:val="18"/>
                      <w:u w:val="none"/>
                    </w:rPr>
                  </w:pPr>
                  <w:r>
                    <w:rPr>
                      <w:rFonts w:hint="eastAsia" w:ascii="宋体" w:hAnsi="宋体" w:eastAsia="宋体" w:cs="宋体"/>
                      <w:color w:val="003CC8"/>
                      <w:kern w:val="0"/>
                      <w:sz w:val="18"/>
                      <w:szCs w:val="18"/>
                      <w:u w:val="none"/>
                      <w:bdr w:val="none" w:color="auto" w:sz="0" w:space="0"/>
                      <w:lang w:val="en-US" w:eastAsia="zh-CN" w:bidi="ar"/>
                    </w:rPr>
                    <w:t>【E-mail推荐</w:t>
                  </w:r>
                </w:p>
              </w:tc>
              <w:tc>
                <w:tcPr>
                  <w:tcW w:w="0" w:type="auto"/>
                  <w:tcBorders>
                    <w:top w:val="nil"/>
                    <w:left w:val="nil"/>
                    <w:bottom w:val="nil"/>
                    <w:right w:val="nil"/>
                  </w:tcBorders>
                  <w:shd w:val="clear"/>
                  <w:vAlign w:val="center"/>
                </w:tcPr>
                <w:p>
                  <w:pPr>
                    <w:keepNext w:val="0"/>
                    <w:keepLines w:val="0"/>
                    <w:widowControl/>
                    <w:suppressLineNumbers w:val="0"/>
                    <w:spacing w:line="240" w:lineRule="atLeast"/>
                    <w:jc w:val="left"/>
                    <w:rPr>
                      <w:rFonts w:hint="eastAsia" w:ascii="宋体" w:hAnsi="宋体" w:eastAsia="宋体" w:cs="宋体"/>
                      <w:color w:val="003CC8"/>
                      <w:sz w:val="18"/>
                      <w:szCs w:val="18"/>
                      <w:u w:val="none"/>
                    </w:rPr>
                  </w:pPr>
                  <w:r>
                    <w:rPr>
                      <w:rFonts w:hint="eastAsia" w:ascii="宋体" w:hAnsi="宋体" w:eastAsia="宋体" w:cs="宋体"/>
                      <w:color w:val="003CC8"/>
                      <w:kern w:val="0"/>
                      <w:sz w:val="18"/>
                      <w:szCs w:val="18"/>
                      <w:u w:val="none"/>
                      <w:bdr w:val="none" w:color="999999" w:sz="6" w:space="0"/>
                      <w:shd w:val="clear" w:fill="FFFFFF"/>
                      <w:lang w:val="en-US" w:eastAsia="zh-CN" w:bidi="ar"/>
                    </w:rPr>
                    <w:object>
                      <v:shape id="_x0000_i1027" o:spt="201" type="#_x0000_t201" style="height:18pt;width:72pt;" o:ole="t" filled="f" o:preferrelative="t" stroked="f" coordsize="21600,21600">
                        <v:path/>
                        <v:fill on="f" focussize="0,0"/>
                        <v:stroke on="f"/>
                        <v:imagedata r:id="rId6" o:title=""/>
                        <o:lock v:ext="edit" aspectratio="t"/>
                        <w10:wrap type="none"/>
                        <w10:anchorlock/>
                      </v:shape>
                      <w:control r:id="rId5" w:name="Control 3" w:shapeid="_x0000_i1027"/>
                    </w:object>
                  </w:r>
                  <w:r>
                    <w:rPr>
                      <w:rFonts w:hint="eastAsia" w:ascii="宋体" w:hAnsi="宋体" w:eastAsia="宋体" w:cs="宋体"/>
                      <w:color w:val="003CC8"/>
                      <w:kern w:val="0"/>
                      <w:sz w:val="18"/>
                      <w:szCs w:val="18"/>
                      <w:u w:val="none"/>
                      <w:bdr w:val="none" w:color="auto" w:sz="0" w:space="0"/>
                      <w:lang w:val="en-US" w:eastAsia="zh-CN" w:bidi="ar"/>
                    </w:rPr>
                    <w:t> </w:t>
                  </w:r>
                  <w:r>
                    <w:rPr>
                      <w:rFonts w:hint="default" w:ascii="Arial" w:hAnsi="Arial" w:eastAsia="宋体" w:cs="Arial"/>
                      <w:color w:val="000000"/>
                      <w:kern w:val="0"/>
                      <w:sz w:val="15"/>
                      <w:szCs w:val="15"/>
                      <w:u w:val="none"/>
                      <w:bdr w:val="none" w:color="auto" w:sz="0" w:space="0"/>
                      <w:lang w:val="en-US" w:eastAsia="zh-CN" w:bidi="ar"/>
                    </w:rPr>
                    <w:object>
                      <v:shape id="_x0000_i1028" o:spt="201" type="#_x0000_t201" style="height:20.25pt;width:29.25pt;" o:ole="t" filled="f" o:preferrelative="t" stroked="f" coordsize="21600,21600">
                        <v:path/>
                        <v:fill on="f" focussize="0,0"/>
                        <v:stroke on="f"/>
                        <v:imagedata r:id="rId8" o:title=""/>
                        <o:lock v:ext="edit" aspectratio="t"/>
                        <w10:wrap type="none"/>
                        <w10:anchorlock/>
                      </v:shape>
                      <w:control r:id="rId7" w:name="Control 4" w:shapeid="_x0000_i1028"/>
                    </w:object>
                  </w:r>
                </w:p>
              </w:tc>
              <w:tc>
                <w:tcPr>
                  <w:tcW w:w="0" w:type="auto"/>
                  <w:tcBorders>
                    <w:top w:val="nil"/>
                    <w:left w:val="nil"/>
                    <w:bottom w:val="nil"/>
                    <w:right w:val="nil"/>
                  </w:tcBorders>
                  <w:shd w:val="clear"/>
                  <w:vAlign w:val="center"/>
                </w:tcPr>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rPr>
                            <w:rFonts w:hint="eastAsia" w:ascii="宋体"/>
                            <w:sz w:val="24"/>
                            <w:szCs w:val="24"/>
                          </w:rPr>
                        </w:pPr>
                      </w:p>
                    </w:tc>
                  </w:tr>
                </w:tbl>
                <w:p>
                  <w:pPr>
                    <w:keepNext w:val="0"/>
                    <w:keepLines w:val="0"/>
                    <w:widowControl/>
                    <w:suppressLineNumbers w:val="0"/>
                    <w:spacing w:line="240" w:lineRule="atLeast"/>
                    <w:jc w:val="left"/>
                    <w:rPr>
                      <w:rFonts w:hint="eastAsia" w:ascii="宋体" w:hAnsi="宋体" w:eastAsia="宋体" w:cs="宋体"/>
                      <w:color w:val="003CC8"/>
                      <w:sz w:val="18"/>
                      <w:szCs w:val="18"/>
                      <w:u w:val="none"/>
                    </w:rPr>
                  </w:pPr>
                  <w:r>
                    <w:rPr>
                      <w:rFonts w:hint="eastAsia" w:ascii="宋体" w:hAnsi="宋体" w:eastAsia="宋体" w:cs="宋体"/>
                      <w:color w:val="003CC8"/>
                      <w:kern w:val="0"/>
                      <w:sz w:val="18"/>
                      <w:szCs w:val="18"/>
                      <w:u w:val="none"/>
                      <w:bdr w:val="none" w:color="auto" w:sz="0" w:space="0"/>
                      <w:lang w:val="en-US" w:eastAsia="zh-CN" w:bidi="ar"/>
                    </w:rPr>
                    <w:t>】</w:t>
                  </w:r>
                </w:p>
              </w:tc>
            </w:tr>
          </w:tbl>
          <w:p>
            <w:pPr>
              <w:pStyle w:val="7"/>
            </w:pPr>
            <w:r>
              <w:t>窗体底端</w:t>
            </w:r>
          </w:p>
        </w:tc>
        <w:tc>
          <w:tcPr>
            <w:tcW w:w="150" w:type="dxa"/>
            <w:shd w:val="clear" w:color="auto" w:fill="FFFFFF"/>
            <w:vAlign w:val="center"/>
          </w:tcPr>
          <w:p>
            <w:pPr>
              <w:jc w:val="right"/>
              <w:rPr>
                <w:rFonts w:hint="eastAsia" w:ascii="宋体" w:hAnsi="宋体" w:eastAsia="宋体" w:cs="宋体"/>
                <w:caps w:val="0"/>
                <w:color w:val="003CC8"/>
                <w:spacing w:val="0"/>
                <w:sz w:val="18"/>
                <w:szCs w:val="18"/>
                <w:u w:val="none"/>
              </w:rPr>
            </w:pPr>
          </w:p>
        </w:tc>
        <w:tc>
          <w:tcPr>
            <w:tcW w:w="1200" w:type="dxa"/>
            <w:shd w:val="clear" w:color="auto" w:fill="FFFFFF"/>
            <w:vAlign w:val="center"/>
          </w:tcPr>
          <w:p>
            <w:pPr>
              <w:keepNext w:val="0"/>
              <w:keepLines w:val="0"/>
              <w:widowControl/>
              <w:suppressLineNumbers w:val="0"/>
              <w:spacing w:line="240" w:lineRule="atLeast"/>
              <w:jc w:val="left"/>
              <w:rPr>
                <w:rFonts w:hint="eastAsia" w:ascii="宋体" w:hAnsi="宋体" w:eastAsia="宋体" w:cs="宋体"/>
                <w:caps w:val="0"/>
                <w:color w:val="003CC8"/>
                <w:spacing w:val="0"/>
                <w:sz w:val="18"/>
                <w:szCs w:val="18"/>
                <w:u w:val="none"/>
              </w:rPr>
            </w:pPr>
          </w:p>
        </w:tc>
        <w:tc>
          <w:tcPr>
            <w:tcW w:w="1200" w:type="dxa"/>
            <w:shd w:val="clear" w:color="auto" w:fill="FFFFFF"/>
            <w:vAlign w:val="center"/>
          </w:tcPr>
          <w:p>
            <w:pPr>
              <w:keepNext w:val="0"/>
              <w:keepLines w:val="0"/>
              <w:widowControl/>
              <w:suppressLineNumbers w:val="0"/>
              <w:spacing w:line="240" w:lineRule="atLeast"/>
              <w:jc w:val="left"/>
              <w:rPr>
                <w:rFonts w:hint="eastAsia" w:ascii="宋体" w:hAnsi="宋体" w:eastAsia="宋体" w:cs="宋体"/>
                <w:caps w:val="0"/>
                <w:color w:val="003CC8"/>
                <w:spacing w:val="0"/>
                <w:sz w:val="18"/>
                <w:szCs w:val="18"/>
                <w:u w:val="none"/>
              </w:rPr>
            </w:pPr>
          </w:p>
        </w:tc>
      </w:tr>
    </w:tbl>
    <w:p>
      <w:pPr>
        <w:rPr>
          <w:vanish/>
          <w:sz w:val="24"/>
          <w:szCs w:val="24"/>
        </w:rPr>
      </w:pPr>
    </w:p>
    <w:tbl>
      <w:tblPr>
        <w:tblW w:w="12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rPr>
                <w:rFonts w:hint="eastAsia" w:ascii="微软雅黑" w:hAnsi="微软雅黑" w:eastAsia="微软雅黑" w:cs="微软雅黑"/>
                <w:caps w:val="0"/>
                <w:spacing w:val="0"/>
                <w:sz w:val="24"/>
                <w:szCs w:val="24"/>
              </w:rPr>
            </w:pPr>
          </w:p>
        </w:tc>
      </w:tr>
    </w:tbl>
    <w:p>
      <w:pPr>
        <w:rPr>
          <w:vanish/>
          <w:sz w:val="24"/>
          <w:szCs w:val="24"/>
        </w:rPr>
      </w:pPr>
    </w:p>
    <w:tbl>
      <w:tblPr>
        <w:tblW w:w="981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0" w:type="auto"/>
            <w:shd w:val="clear" w:color="auto" w:fill="B9B9B9"/>
            <w:vAlign w:val="center"/>
          </w:tcPr>
          <w:p>
            <w:pPr>
              <w:keepNext w:val="0"/>
              <w:keepLines w:val="0"/>
              <w:widowControl/>
              <w:suppressLineNumbers w:val="0"/>
              <w:shd w:val="clear" w:fill="B9B9B9"/>
              <w:jc w:val="center"/>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drawing>
                <wp:inline distT="0" distB="0" distL="114300" distR="114300">
                  <wp:extent cx="9525" cy="9525"/>
                  <wp:effectExtent l="0" t="0" r="0" b="0"/>
                  <wp:docPr id="2"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8"/>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shd w:val="clear" w:color="auto" w:fill="FFFFFF"/>
            <w:vAlign w:val="top"/>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hRule="atLeast"/>
                <w:tblCellSpacing w:w="0" w:type="dxa"/>
                <w:jc w:val="center"/>
              </w:trPr>
              <w:tc>
                <w:tcPr>
                  <w:tcW w:w="5000" w:type="pct"/>
                  <w:shd w:val="clear"/>
                  <w:vAlign w:val="center"/>
                </w:tcPr>
                <w:p>
                  <w:pPr>
                    <w:rPr>
                      <w:rFonts w:hint="eastAsia" w:ascii="宋体"/>
                      <w:sz w:val="24"/>
                      <w:szCs w:val="24"/>
                    </w:rPr>
                  </w:pPr>
                </w:p>
              </w:tc>
            </w:tr>
          </w:tbl>
          <w:p>
            <w:pPr>
              <w:rPr>
                <w:vanish/>
                <w:sz w:val="24"/>
                <w:szCs w:val="24"/>
              </w:rPr>
            </w:pPr>
          </w:p>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2"/>
                    <w:keepNext w:val="0"/>
                    <w:keepLines w:val="0"/>
                    <w:widowControl/>
                    <w:suppressLineNumbers w:val="0"/>
                    <w:spacing w:line="432" w:lineRule="atLeast"/>
                  </w:pPr>
                  <w:r>
                    <w:rPr>
                      <w:rFonts w:ascii="黑体" w:hAnsi="宋体" w:eastAsia="黑体" w:cs="黑体"/>
                      <w:color w:val="000000"/>
                      <w:sz w:val="24"/>
                      <w:szCs w:val="24"/>
                      <w:u w:val="none"/>
                    </w:rPr>
                    <w:t>    一、基本情况</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2004年2月15日11时许，吉林省吉林市中百商厦发生特大火灾，大火于当日15∶30时被扑灭。火灾造成54人死亡，70人受伤，直接经济损失426万元。</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中百商厦隶属市商业委员会，属国有商业企业，1995年投入使用，建筑面积4328平方米，耐火等级为二级。商厦一层（含回廊）经营五金、百货，二层经营服装、布匹，三层为浴池，四层为舞厅和台球厅，由146家个体商户承租经营。经国务院调查组技术专家组勘察确定，火灾系中百商厦伟业电器行雇工于洪新，于当日9时许向3号库房送包装纸板时，将嘴上叼着的香烟掉落在仓库中，引燃地面上的纸屑纸板等可燃物引发的。</w:t>
                  </w:r>
                </w:p>
                <w:p>
                  <w:pPr>
                    <w:pStyle w:val="2"/>
                    <w:keepNext w:val="0"/>
                    <w:keepLines w:val="0"/>
                    <w:widowControl/>
                    <w:suppressLineNumbers w:val="0"/>
                    <w:spacing w:line="432" w:lineRule="atLeast"/>
                  </w:pPr>
                  <w:r>
                    <w:rPr>
                      <w:rFonts w:hint="eastAsia" w:ascii="黑体" w:hAnsi="宋体" w:eastAsia="黑体" w:cs="黑体"/>
                      <w:color w:val="000000"/>
                      <w:sz w:val="24"/>
                      <w:szCs w:val="24"/>
                      <w:u w:val="none"/>
                    </w:rPr>
                    <w:t>    二、灭火救援过程</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2月15日11时许，中百商厦浴池锅炉工李铁男发现毗邻中百商厦北墙搭建的3号仓库有烟冒出，找来该库房的租用人中百商厦伟业电器行雇工于洪新打开仓库，发现库内着火，即进行扑救，但未能控制火势。据吉林市消防调度指挥中心电脑记录，直到11时28分，消防支队才接到路过商厦的吉林市勘测设计院员工吕焱华用手机报警。支队立即命令市区所有11个消防执勤中队和支队机关全体官兵以及吉化集团公司消防支队赶赴火场，并同时报告市公安局指挥中心和120急救中心。经各方全力奋战，于15时30分将火灾彻底扑灭，抢救被困群众190人（其中未受伤66人）。火灾共造成54人死亡，70人受伤，过火建筑面积2040平方米，直接财产损失426万余元。</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火灾发生后，省委、省政府领导及省公安厅、卫生厅、经贸委、安全生产监督管理局、省消防总队领导都赶赴吉林市，对现场灭火救援、伤员救治、社会稳定、事故调查及善后处理等工作进行研究、指导和部署。吉林市委、市政府积极组织灭火救援及善后处理工作。组织了有200名干部参加的8个专门工作组，及时处理遇难者尸体，并对受伤人员提供了最好救治服务。截止4月28日，70名住院伤者已治愈出院54人，特别是当时的14名重伤者均得到有效缓解并转入正常治疗，未新增死亡人数。商厦内140家经营业户已有133家与中百商厦签订了协议，待商厦修复后重新进入经营，其余几户已转迁其他商场经营。</w:t>
                  </w:r>
                </w:p>
                <w:p>
                  <w:pPr>
                    <w:pStyle w:val="2"/>
                    <w:keepNext w:val="0"/>
                    <w:keepLines w:val="0"/>
                    <w:widowControl/>
                    <w:suppressLineNumbers w:val="0"/>
                    <w:spacing w:line="432" w:lineRule="atLeast"/>
                  </w:pPr>
                  <w:r>
                    <w:rPr>
                      <w:rFonts w:hint="eastAsia" w:ascii="黑体" w:hAnsi="宋体" w:eastAsia="黑体" w:cs="黑体"/>
                      <w:color w:val="000000"/>
                      <w:sz w:val="24"/>
                      <w:szCs w:val="24"/>
                      <w:u w:val="none"/>
                    </w:rPr>
                    <w:t>    三、存在的问题</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中百商厦：一是没有按照《消防法》规定和《机关、团体、企业、事业单位消防安全管理规定》（公安部令第61号）要求，认真落实自身消防安全责任制，消防安全法律责任主体意识不强，没有依法履行消防安全管理职责。火灾发生后，没有及时报警，也没有在第一时间组织人员疏散。二是没有认真履行《消防法》第十四条明确的组织防火检查、及时消除火灾隐患等消防安全职责。对于当地公安消防部门查出的违章搭建仓房等火灾隐患，没有按要求拆除。三是没有按照《消防法》有关规定，认真组织开展对从业人员的消防安全宣传教育和培训，员工消防法制观念淡薄，消防安全意识较差，缺乏防火、灭火常识和自防自救基本技能，致使符合规范标准的消防设施配备没有充分发挥作用。四是虽有灭火和应急疏散预案，但没按《消防法》规定组织开展灭火和应急疏散演练。</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公安消防部门：一是督促整改不到位。该商厦和其仓房相通的10扇窗户有4扇尚未封堵，当地公安消防部门进行复查时，因仓库内货物遮挡没能发现，检查不细。二是对依法履行消防安全监督职责、落实消防安全责任制等检查指导不力。三是当地公安消防部门文书档案资料管理不规范，基础工作薄弱。</w:t>
                  </w:r>
                </w:p>
                <w:p>
                  <w:pPr>
                    <w:pStyle w:val="2"/>
                    <w:keepNext w:val="0"/>
                    <w:keepLines w:val="0"/>
                    <w:widowControl/>
                    <w:suppressLineNumbers w:val="0"/>
                    <w:spacing w:line="432" w:lineRule="atLeast"/>
                  </w:pPr>
                  <w:r>
                    <w:rPr>
                      <w:rFonts w:hint="eastAsia" w:ascii="黑体" w:hAnsi="宋体" w:eastAsia="黑体" w:cs="黑体"/>
                      <w:color w:val="000000"/>
                      <w:sz w:val="24"/>
                      <w:szCs w:val="24"/>
                      <w:u w:val="none"/>
                    </w:rPr>
                    <w:t>    四、经验教训</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一是推进全社会牢固树立消防安全责任主体意识的工作力度不够。没有广泛深入和扎实有效地开展《消防法》、《吉林省消防条例》和《机关、团体、企业、事业单位消防安全管理规定》的宣传贯彻工作，致使有些消防安全管理责任在有些地方不明晰、不落实。</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二是整合社会资源不够，推进消防工作社会化力度不大。公安机关“单打独斗”多，组织发动和依靠调动各方面力量齐抓共管少；开展宣传教育活动的形式多，解决实际问题的有效措施少；注重总结和推广本地经验多，学习国内外先进的理念和管理办法少。</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三是没有建立和完善长效动态监督管理的工作机制，缺乏严、细、实的工作作风，执法监督不到位，隐患整改不及时不彻底。消防监督中，抓重点工作用的精力较多，解决薄弱环节的力度不够；抓面上宣传、检查较多，解决隐性问题的力度不够；抓阶段性工作的精力投入较多，抓长远规划不够；静态的被动管理较多，动态的跟踪服务不够。</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四是在改善消防设施和装备上缺乏主动性和紧迫感。一些地方消防基础设施陈旧落后、数量不足，消防员防护装备严重短缺，消防特勤装备缺乏。</w:t>
                  </w:r>
                </w:p>
              </w:tc>
            </w:tr>
          </w:tbl>
          <w:p>
            <w:pPr>
              <w:jc w:val="center"/>
              <w:rPr>
                <w:rFonts w:hint="eastAsia" w:ascii="微软雅黑" w:hAnsi="微软雅黑" w:eastAsia="微软雅黑" w:cs="微软雅黑"/>
                <w:caps w:val="0"/>
                <w:spacing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01852EA"/>
    <w:rsid w:val="3018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styleId="6">
    <w:name w:val=""/>
    <w:basedOn w:val="1"/>
    <w:next w:val="1"/>
    <w:uiPriority w:val="0"/>
    <w:pPr>
      <w:pBdr>
        <w:bottom w:val="single" w:color="auto" w:sz="6" w:space="1"/>
      </w:pBdr>
      <w:jc w:val="center"/>
    </w:pPr>
    <w:rPr>
      <w:rFonts w:ascii="Arial" w:eastAsia="宋体"/>
      <w:vanish/>
      <w:sz w:val="16"/>
    </w:rPr>
  </w:style>
  <w:style w:type="paragraph" w:styleId="7">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0-5CC6-11CF-8D67-00AA00BDCE1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2024-06-25T01:17:00Z</dcterms:created>
  <dc:creator>玲俐</dc:creator>
  <cp:lastModifiedBy>玲俐</cp:lastModifiedBy>
  <dcterms:modified xsi:type="dcterms:W3CDTF">2024-06-25T02:56:54Z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4013390C7C874420B4C39555214BF255_11</vt:lpwstr>
  </property>
</Properties>
</file>