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bookmarkStart w:id="0" w:name="_GoBack"/>
      <w:bookmarkEnd w:id="0"/>
      <w:r>
        <w:rPr>
          <w:rFonts w:ascii="宋体" w:hAnsi="宋体" w:eastAsia="宋体" w:cs="宋体"/>
          <w:b/>
          <w:bCs/>
          <w:i w:val="0"/>
          <w:iCs w:val="0"/>
          <w:caps w:val="0"/>
          <w:color w:val="333333"/>
          <w:spacing w:val="0"/>
          <w:kern w:val="0"/>
          <w:sz w:val="40"/>
          <w:szCs w:val="40"/>
          <w:bdr w:val="none" w:color="auto" w:sz="0" w:space="0"/>
          <w:shd w:val="clear" w:fill="FFFFFF"/>
          <w:lang w:val="en-US" w:eastAsia="zh-CN" w:bidi="ar"/>
        </w:rPr>
        <w:t>国务院安委办部署开展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40"/>
          <w:szCs w:val="40"/>
          <w:bdr w:val="none" w:color="auto" w:sz="0" w:space="0"/>
          <w:shd w:val="clear" w:fill="FFFFFF"/>
          <w:lang w:val="en-US" w:eastAsia="zh-CN" w:bidi="ar"/>
        </w:rPr>
        <w:t>全国电动自行车安全隐患全链条整治行动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和“五一”假期前后安全防范工作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28</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国务院安委办召开视频会议，部署全面启动电动自行车安全隐患全链条整治行动和“五一”假期前后安全防范工作。国务院安委会副主任、应急管理部部长王祥喜出席会议并讲话，强调要深入学习贯彻习近平总书记关于安全生产重要指示精神，认真贯彻落实国务院常务会议部署，切实增强工作责任感紧迫感，有效防范化解安全风险，确保全国安全生产形势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会议指出，近年来</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电动自行车引发的火灾急剧增加，给人民群众生命财产安全造成严重威胁，暴露出生产、销售、使用、停放、充电、管理等全链条存在的不足，特别是电池本质安全水平不高、产品质量把控不严、违规拼装改装行为屡禁不绝、停放充电设施供需矛盾突出。各地各部门要以极端认真负责的精神，狠抓责任措施落实，高效推进各项任务落到实处。</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健全质量标准体系，将防火阻燃性能、电池安全使用年限、防篡改技术、互认协同、识别代码等明确到位，对不执行标准的生产企业要严格处罚、限制生产。</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严格产品质量监管，对电动自行车、蓄电池、充电器生产企业，逐一审查生产资质，常态化开展产品质量抽查，督促销售企业严格进货检查验收。</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强力打非治违，管住“线下”经营网点、维修店铺和“线上”电商平台，严查超速行为，加大对回收、组装蓄电池的打击力度。</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疏堵结合解决难题，新建项目要将停放充电设施纳入项目配套规划、落实配建要求，既有小区要增设停放充电设施，多措并举管理和约束“进楼入户”行为。</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建立报废回收体系，尽快出台老旧蓄电池报废标准，统筹推动老旧电动自行车及蓄电池以旧换新。</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加强溯源倒查追责，建立事故溯源调查机制，对问题严重的企业要列入失信名单，对发生火灾事故的电动自行车、蓄电池品牌及型号要曝光公示，督促企业提高产品质量。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会议强调，“五一”假期群众出行出游集中，企业生产经营旺盛，灾害天气多发，安全风险交织叠加。</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突出抓好涉众领域安全管控，强化热门景点、小景区、“网红打卡点”等监管，加强游船、大型游乐设施、索道缆车等重点设备安全检查，加强安全提示和疏导，确保群众出行出游安全。</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坚决稳控高危行业领域安全形势，重拳整治矿山违法行为，狠抓危化品和工贸安全，全面排查整治建筑、渔业船舶、特种设备等行业领域风险隐患。</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做好自然灾害防范应对，狠抓重点部位隐患排查和灾害天气预警叫应，严格管控野外火源，做好队伍、物资等应急准备，严防灾害引发群死群伤。</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扎实推进安全生产治本攻坚三年行动，学好用好重大事故隐患判定标准，提高安全检查质效，严格执法与指导服务并重，坚决稳控安全形势。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会上，全国电动自行车安全隐患全链条整治工作专班成员单位分别对本行业系统整治工作进行部署，浙江、福建、湖南省作交流发言。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A6E6C5C"/>
    <w:rsid w:val="5A6E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2024-04-30T05:45:00Z</dcterms:created>
  <dc:creator>玲俐</dc:creator>
  <cp:lastModifiedBy>玲俐</cp:lastModifiedBy>
  <dcterms:modified xsi:type="dcterms:W3CDTF">2024-04-30T05:46:20Z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D93AA8947BE44035B28AC5D336DFA994_11</vt:lpwstr>
  </property>
</Properties>
</file>