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7"/>
        <w:gridCol w:w="24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2"/>
            <w:shd w:val="clear"/>
            <w:vAlign w:val="top"/>
          </w:tcPr>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标题：</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bookmarkStart w:id="0" w:name="_GoBack"/>
            <w:r>
              <w:rPr>
                <w:color w:val="808080"/>
                <w:sz w:val="24"/>
                <w:szCs w:val="24"/>
                <w:bdr w:val="none" w:color="auto" w:sz="0" w:space="0"/>
              </w:rPr>
              <w:t>市场监管总局关于发布《大型游乐设施安全技术规程》的公告</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130" w:type="dxa"/>
            <w:shd w:val="clear"/>
            <w:vAlign w:val="top"/>
          </w:tcPr>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索引号：</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11100000MB0143028R/2023-915506</w:t>
            </w:r>
          </w:p>
        </w:tc>
        <w:tc>
          <w:tcPr>
            <w:tcW w:w="4665" w:type="dxa"/>
            <w:shd w:val="clear"/>
            <w:vAlign w:val="top"/>
          </w:tcPr>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主题分类：</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公示公告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130" w:type="dxa"/>
            <w:shd w:val="clear"/>
            <w:vAlign w:val="top"/>
          </w:tcPr>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文号：</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2023年第50号</w:t>
            </w:r>
          </w:p>
        </w:tc>
        <w:tc>
          <w:tcPr>
            <w:tcW w:w="4665" w:type="dxa"/>
            <w:shd w:val="clear"/>
            <w:vAlign w:val="top"/>
          </w:tcPr>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所属机构：</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特种设备安全监察局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130" w:type="dxa"/>
            <w:shd w:val="clear"/>
            <w:vAlign w:val="top"/>
          </w:tcPr>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成文日期：</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2023年11月29日</w:t>
            </w:r>
          </w:p>
        </w:tc>
        <w:tc>
          <w:tcPr>
            <w:tcW w:w="4665" w:type="dxa"/>
            <w:shd w:val="clear"/>
            <w:vAlign w:val="top"/>
          </w:tcPr>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发布日期：</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2023年12月06日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4"/>
          <w:szCs w:val="24"/>
        </w:rPr>
      </w:pPr>
      <w:r>
        <w:rPr>
          <w:rFonts w:ascii="方正小标宋简体" w:hAnsi="方正小标宋简体" w:eastAsia="方正小标宋简体" w:cs="方正小标宋简体"/>
          <w:color w:val="333333"/>
          <w:sz w:val="32"/>
          <w:szCs w:val="32"/>
          <w:bdr w:val="none" w:color="auto" w:sz="0" w:space="0"/>
        </w:rPr>
        <w:t>市场监管总局关于发布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4"/>
          <w:szCs w:val="24"/>
        </w:rPr>
      </w:pPr>
      <w:r>
        <w:rPr>
          <w:rFonts w:hint="default" w:ascii="方正小标宋简体" w:hAnsi="方正小标宋简体" w:eastAsia="方正小标宋简体" w:cs="方正小标宋简体"/>
          <w:color w:val="333333"/>
          <w:sz w:val="32"/>
          <w:szCs w:val="32"/>
          <w:bdr w:val="none" w:color="auto" w:sz="0" w:space="0"/>
        </w:rPr>
        <w:t>《大型游乐设施安全技术规程》的公告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4"/>
          <w:szCs w:val="24"/>
        </w:rPr>
      </w:pPr>
      <w:r>
        <w:rPr>
          <w:rFonts w:ascii="微软雅黑" w:hAnsi="微软雅黑" w:eastAsia="微软雅黑" w:cs="微软雅黑"/>
          <w:color w:val="333333"/>
          <w:spacing w:val="0"/>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eastAsia" w:ascii="宋体" w:hAnsi="宋体" w:eastAsia="宋体" w:cs="宋体"/>
          <w:sz w:val="32"/>
          <w:szCs w:val="32"/>
        </w:rPr>
      </w:pPr>
      <w:r>
        <w:rPr>
          <w:rFonts w:ascii="仿宋_GB2312" w:hAnsi="宋体" w:eastAsia="仿宋_GB2312" w:cs="仿宋_GB2312"/>
          <w:color w:val="333333"/>
          <w:sz w:val="32"/>
          <w:szCs w:val="32"/>
          <w:bdr w:val="none" w:color="auto" w:sz="0" w:space="0"/>
        </w:rPr>
        <w:t>根据《中华人民共和国特种设备安全法》，市场监管总局制定了《大型游乐设施安全技术规程》（</w:t>
      </w:r>
      <w:r>
        <w:rPr>
          <w:rFonts w:hint="default" w:ascii="Times New Roman" w:hAnsi="Times New Roman" w:eastAsia="仿宋_GB2312" w:cs="Times New Roman"/>
          <w:color w:val="333333"/>
          <w:sz w:val="32"/>
          <w:szCs w:val="32"/>
          <w:bdr w:val="none" w:color="auto" w:sz="0" w:space="0"/>
        </w:rPr>
        <w:t>TSG 71</w:t>
      </w:r>
      <w:r>
        <w:rPr>
          <w:rFonts w:hint="default" w:ascii="仿宋_GB2312" w:hAnsi="宋体" w:eastAsia="仿宋_GB2312" w:cs="仿宋_GB2312"/>
          <w:color w:val="333333"/>
          <w:sz w:val="32"/>
          <w:szCs w:val="32"/>
          <w:bdr w:val="none" w:color="auto" w:sz="0" w:space="0"/>
        </w:rPr>
        <w:t>—</w:t>
      </w:r>
      <w:r>
        <w:rPr>
          <w:rFonts w:hint="default" w:ascii="Times New Roman" w:hAnsi="Times New Roman" w:eastAsia="仿宋_GB2312" w:cs="Times New Roman"/>
          <w:color w:val="333333"/>
          <w:sz w:val="32"/>
          <w:szCs w:val="32"/>
          <w:bdr w:val="none" w:color="auto" w:sz="0" w:space="0"/>
        </w:rPr>
        <w:t>2023</w:t>
      </w:r>
      <w:r>
        <w:rPr>
          <w:rFonts w:hint="default" w:ascii="仿宋_GB2312" w:hAnsi="宋体" w:eastAsia="仿宋_GB2312" w:cs="仿宋_GB2312"/>
          <w:color w:val="333333"/>
          <w:sz w:val="32"/>
          <w:szCs w:val="32"/>
          <w:bdr w:val="none" w:color="auto" w:sz="0" w:space="0"/>
        </w:rPr>
        <w:t>，以下称本规程），现予批准发布，自</w:t>
      </w:r>
      <w:r>
        <w:rPr>
          <w:rFonts w:hint="default" w:ascii="Times New Roman" w:hAnsi="Times New Roman" w:eastAsia="仿宋_GB2312" w:cs="Times New Roman"/>
          <w:color w:val="333333"/>
          <w:sz w:val="32"/>
          <w:szCs w:val="32"/>
          <w:bdr w:val="none" w:color="auto" w:sz="0" w:space="0"/>
        </w:rPr>
        <w:t>2024</w:t>
      </w:r>
      <w:r>
        <w:rPr>
          <w:rFonts w:hint="default" w:ascii="仿宋_GB2312" w:hAnsi="宋体" w:eastAsia="仿宋_GB2312" w:cs="仿宋_GB2312"/>
          <w:color w:val="333333"/>
          <w:sz w:val="32"/>
          <w:szCs w:val="32"/>
          <w:bdr w:val="none" w:color="auto" w:sz="0" w:space="0"/>
        </w:rPr>
        <w:t>年</w:t>
      </w:r>
      <w:r>
        <w:rPr>
          <w:rFonts w:hint="default" w:ascii="Times New Roman" w:hAnsi="Times New Roman" w:eastAsia="仿宋_GB2312" w:cs="Times New Roman"/>
          <w:color w:val="333333"/>
          <w:sz w:val="32"/>
          <w:szCs w:val="32"/>
          <w:bdr w:val="none" w:color="auto" w:sz="0" w:space="0"/>
        </w:rPr>
        <w:t>3</w:t>
      </w:r>
      <w:r>
        <w:rPr>
          <w:rFonts w:hint="default" w:ascii="仿宋_GB2312" w:hAnsi="宋体" w:eastAsia="仿宋_GB2312" w:cs="仿宋_GB2312"/>
          <w:color w:val="333333"/>
          <w:sz w:val="32"/>
          <w:szCs w:val="32"/>
          <w:bdr w:val="none" w:color="auto" w:sz="0" w:space="0"/>
        </w:rPr>
        <w:t>月</w:t>
      </w:r>
      <w:r>
        <w:rPr>
          <w:rFonts w:hint="default" w:ascii="Times New Roman" w:hAnsi="Times New Roman" w:eastAsia="仿宋_GB2312" w:cs="Times New Roman"/>
          <w:color w:val="333333"/>
          <w:sz w:val="32"/>
          <w:szCs w:val="32"/>
          <w:bdr w:val="none" w:color="auto" w:sz="0" w:space="0"/>
        </w:rPr>
        <w:t>1</w:t>
      </w:r>
      <w:r>
        <w:rPr>
          <w:rFonts w:hint="default" w:ascii="仿宋_GB2312" w:hAnsi="宋体" w:eastAsia="仿宋_GB2312" w:cs="仿宋_GB2312"/>
          <w:color w:val="333333"/>
          <w:sz w:val="32"/>
          <w:szCs w:val="32"/>
          <w:bdr w:val="none" w:color="auto" w:sz="0" w:space="0"/>
        </w:rPr>
        <w:t>日起施行。现就有关事项公告如下。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eastAsia" w:ascii="宋体" w:hAnsi="宋体" w:eastAsia="宋体" w:cs="宋体"/>
          <w:sz w:val="32"/>
          <w:szCs w:val="32"/>
        </w:rPr>
      </w:pPr>
      <w:r>
        <w:rPr>
          <w:rFonts w:ascii="黑体" w:hAnsi="宋体" w:eastAsia="黑体" w:cs="黑体"/>
          <w:color w:val="333333"/>
          <w:sz w:val="32"/>
          <w:szCs w:val="32"/>
          <w:bdr w:val="none" w:color="auto" w:sz="0" w:space="0"/>
        </w:rPr>
        <w:t>一、做好实施过渡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eastAsia" w:ascii="宋体" w:hAnsi="宋体" w:eastAsia="宋体" w:cs="宋体"/>
          <w:sz w:val="32"/>
          <w:szCs w:val="32"/>
        </w:rPr>
      </w:pPr>
      <w:r>
        <w:rPr>
          <w:rFonts w:hint="default" w:ascii="仿宋_GB2312" w:hAnsi="宋体" w:eastAsia="仿宋_GB2312" w:cs="仿宋_GB2312"/>
          <w:color w:val="333333"/>
          <w:sz w:val="32"/>
          <w:szCs w:val="32"/>
          <w:bdr w:val="none" w:color="auto" w:sz="0" w:space="0"/>
          <w:shd w:val="clear" w:fill="FFFFFF"/>
        </w:rPr>
        <w:t>（一）本规程自施行之日起，过渡期为</w:t>
      </w:r>
      <w:r>
        <w:rPr>
          <w:rFonts w:hint="default" w:ascii="Times New Roman" w:hAnsi="Times New Roman" w:eastAsia="仿宋_GB2312" w:cs="Times New Roman"/>
          <w:color w:val="333333"/>
          <w:sz w:val="32"/>
          <w:szCs w:val="32"/>
          <w:bdr w:val="none" w:color="auto" w:sz="0" w:space="0"/>
          <w:shd w:val="clear" w:fill="FFFFFF"/>
        </w:rPr>
        <w:t>1</w:t>
      </w:r>
      <w:r>
        <w:rPr>
          <w:rFonts w:hint="default" w:ascii="仿宋_GB2312" w:hAnsi="宋体" w:eastAsia="仿宋_GB2312" w:cs="仿宋_GB2312"/>
          <w:color w:val="333333"/>
          <w:sz w:val="32"/>
          <w:szCs w:val="32"/>
          <w:bdr w:val="none" w:color="auto" w:sz="0" w:space="0"/>
          <w:shd w:val="clear" w:fill="FFFFFF"/>
        </w:rPr>
        <w:t>年。过渡期内，对于设计文件鉴定和型式试验，检验机构应按照本规程进行；对于监督检验和定期检验，制造单位和运营使用单位应按照本规程重新明确大型游乐设施级别并申请相应检验，可以选择本规程或者原有的《游乐设施监督检验规程（试行）》（国质检锅</w:t>
      </w:r>
      <w:r>
        <w:rPr>
          <w:rFonts w:hint="default" w:ascii="仿宋_GB2312" w:hAnsi="宋体" w:eastAsia="仿宋_GB2312" w:cs="仿宋_GB2312"/>
          <w:color w:val="333333"/>
          <w:spacing w:val="0"/>
          <w:sz w:val="32"/>
          <w:szCs w:val="32"/>
          <w:bdr w:val="none" w:color="auto" w:sz="0" w:space="0"/>
          <w:shd w:val="clear" w:fill="FFFFFF"/>
        </w:rPr>
        <w:t>〔</w:t>
      </w:r>
      <w:r>
        <w:rPr>
          <w:rFonts w:hint="default" w:ascii="Times New Roman" w:hAnsi="Times New Roman" w:eastAsia="仿宋_GB2312" w:cs="Times New Roman"/>
          <w:color w:val="333333"/>
          <w:spacing w:val="0"/>
          <w:sz w:val="32"/>
          <w:szCs w:val="32"/>
          <w:bdr w:val="none" w:color="auto" w:sz="0" w:space="0"/>
          <w:shd w:val="clear" w:fill="FFFFFF"/>
        </w:rPr>
        <w:t>2002</w:t>
      </w:r>
      <w:r>
        <w:rPr>
          <w:rFonts w:hint="default" w:ascii="仿宋_GB2312" w:hAnsi="宋体" w:eastAsia="仿宋_GB2312" w:cs="仿宋_GB2312"/>
          <w:color w:val="333333"/>
          <w:spacing w:val="0"/>
          <w:sz w:val="32"/>
          <w:szCs w:val="32"/>
          <w:bdr w:val="none" w:color="auto" w:sz="0" w:space="0"/>
          <w:shd w:val="clear" w:fill="FFFFFF"/>
        </w:rPr>
        <w:t>〕</w:t>
      </w:r>
      <w:r>
        <w:rPr>
          <w:rFonts w:hint="default" w:ascii="Times New Roman" w:hAnsi="Times New Roman" w:eastAsia="仿宋_GB2312" w:cs="Times New Roman"/>
          <w:color w:val="333333"/>
          <w:sz w:val="32"/>
          <w:szCs w:val="32"/>
          <w:bdr w:val="none" w:color="auto" w:sz="0" w:space="0"/>
          <w:shd w:val="clear" w:fill="FFFFFF"/>
        </w:rPr>
        <w:t>124</w:t>
      </w:r>
      <w:r>
        <w:rPr>
          <w:rFonts w:hint="default" w:ascii="仿宋_GB2312" w:hAnsi="宋体" w:eastAsia="仿宋_GB2312" w:cs="仿宋_GB2312"/>
          <w:color w:val="333333"/>
          <w:sz w:val="32"/>
          <w:szCs w:val="32"/>
          <w:bdr w:val="none" w:color="auto" w:sz="0" w:space="0"/>
          <w:shd w:val="clear" w:fill="FFFFFF"/>
        </w:rPr>
        <w:t>号）进行检验；原设计文件鉴定和型式试验报告继续有效。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eastAsia" w:ascii="宋体" w:hAnsi="宋体" w:eastAsia="宋体" w:cs="宋体"/>
          <w:sz w:val="32"/>
          <w:szCs w:val="32"/>
        </w:rPr>
      </w:pPr>
      <w:r>
        <w:rPr>
          <w:rFonts w:hint="default" w:ascii="仿宋_GB2312" w:hAnsi="宋体" w:eastAsia="仿宋_GB2312" w:cs="仿宋_GB2312"/>
          <w:color w:val="333333"/>
          <w:sz w:val="32"/>
          <w:szCs w:val="32"/>
          <w:bdr w:val="none" w:color="auto" w:sz="0" w:space="0"/>
          <w:shd w:val="clear" w:fill="FFFFFF"/>
        </w:rPr>
        <w:t>（二）过渡期满后，大型游乐设施生产、使用、检验、检测和监督管理应依据本规程进行，原设计文件鉴定和型式试验报告需补发证书后方可继续使用。本规程发布之日前已安装并经检验合格的在用系留式观光气球，在其设计使用期限内，本规程</w:t>
      </w:r>
      <w:r>
        <w:rPr>
          <w:rFonts w:hint="default" w:ascii="Times New Roman" w:hAnsi="Times New Roman" w:eastAsia="仿宋_GB2312" w:cs="Times New Roman"/>
          <w:color w:val="333333"/>
          <w:sz w:val="32"/>
          <w:szCs w:val="32"/>
          <w:bdr w:val="none" w:color="auto" w:sz="0" w:space="0"/>
          <w:shd w:val="clear" w:fill="FFFFFF"/>
        </w:rPr>
        <w:t>8.7.1</w:t>
      </w:r>
      <w:r>
        <w:rPr>
          <w:rFonts w:hint="default" w:ascii="仿宋_GB2312" w:hAnsi="宋体" w:eastAsia="仿宋_GB2312" w:cs="仿宋_GB2312"/>
          <w:color w:val="333333"/>
          <w:sz w:val="32"/>
          <w:szCs w:val="32"/>
          <w:bdr w:val="none" w:color="auto" w:sz="0" w:space="0"/>
          <w:shd w:val="clear" w:fill="FFFFFF"/>
        </w:rPr>
        <w:t>（</w:t>
      </w:r>
      <w:r>
        <w:rPr>
          <w:rFonts w:hint="default" w:ascii="Times New Roman" w:hAnsi="Times New Roman" w:eastAsia="仿宋_GB2312" w:cs="Times New Roman"/>
          <w:color w:val="333333"/>
          <w:sz w:val="32"/>
          <w:szCs w:val="32"/>
          <w:bdr w:val="none" w:color="auto" w:sz="0" w:space="0"/>
          <w:shd w:val="clear" w:fill="FFFFFF"/>
        </w:rPr>
        <w:t>1</w:t>
      </w:r>
      <w:r>
        <w:rPr>
          <w:rFonts w:hint="default" w:ascii="仿宋_GB2312" w:hAnsi="宋体" w:eastAsia="仿宋_GB2312" w:cs="仿宋_GB2312"/>
          <w:color w:val="333333"/>
          <w:sz w:val="32"/>
          <w:szCs w:val="32"/>
          <w:bdr w:val="none" w:color="auto" w:sz="0" w:space="0"/>
          <w:shd w:val="clear" w:fill="FFFFFF"/>
        </w:rPr>
        <w:t>）可不作要求。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eastAsia" w:ascii="宋体" w:hAnsi="宋体" w:eastAsia="宋体" w:cs="宋体"/>
          <w:sz w:val="32"/>
          <w:szCs w:val="32"/>
        </w:rPr>
      </w:pPr>
      <w:r>
        <w:rPr>
          <w:rFonts w:hint="eastAsia" w:ascii="黑体" w:hAnsi="宋体" w:eastAsia="黑体" w:cs="黑体"/>
          <w:color w:val="333333"/>
          <w:sz w:val="32"/>
          <w:szCs w:val="32"/>
          <w:bdr w:val="none" w:color="auto" w:sz="0" w:space="0"/>
          <w:shd w:val="clear" w:fill="FFFFFF"/>
        </w:rPr>
        <w:t>二、做好证书补发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eastAsia" w:ascii="宋体" w:hAnsi="宋体" w:eastAsia="宋体" w:cs="宋体"/>
          <w:sz w:val="32"/>
          <w:szCs w:val="32"/>
        </w:rPr>
      </w:pPr>
      <w:r>
        <w:rPr>
          <w:rFonts w:hint="default" w:ascii="仿宋_GB2312" w:hAnsi="宋体" w:eastAsia="仿宋_GB2312" w:cs="仿宋_GB2312"/>
          <w:color w:val="333333"/>
          <w:sz w:val="32"/>
          <w:szCs w:val="32"/>
          <w:bdr w:val="none" w:color="auto" w:sz="0" w:space="0"/>
          <w:shd w:val="clear" w:fill="FFFFFF"/>
        </w:rPr>
        <w:t>设计文件鉴定、型式试验机构和相关生产单位要及时对接，协商原设计文件鉴定、型式试验报告的证书补发工作，按照方便快捷的原则，简化程序，保证平稳过渡。对设计文件鉴定、型式试验的项目，应对照本规程进行核查，与本规程存在差异需补充鉴定和补充试验的，进行差异项目的补充鉴定和补充试验并出具补充报告和证书；不需要补充设计文件鉴定、型式试验的，审查资料后直接出具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eastAsia" w:ascii="宋体" w:hAnsi="宋体" w:eastAsia="宋体" w:cs="宋体"/>
          <w:sz w:val="32"/>
          <w:szCs w:val="32"/>
        </w:rPr>
      </w:pPr>
      <w:r>
        <w:rPr>
          <w:rFonts w:hint="eastAsia" w:ascii="黑体" w:hAnsi="宋体" w:eastAsia="黑体" w:cs="黑体"/>
          <w:color w:val="333333"/>
          <w:sz w:val="32"/>
          <w:szCs w:val="32"/>
          <w:bdr w:val="none" w:color="auto" w:sz="0" w:space="0"/>
        </w:rPr>
        <w:t>三、强化</w:t>
      </w:r>
      <w:r>
        <w:rPr>
          <w:rFonts w:hint="eastAsia" w:ascii="黑体" w:hAnsi="宋体" w:eastAsia="黑体" w:cs="黑体"/>
          <w:color w:val="333333"/>
          <w:sz w:val="32"/>
          <w:szCs w:val="32"/>
          <w:bdr w:val="none" w:color="auto" w:sz="0" w:space="0"/>
          <w:shd w:val="clear" w:fill="FFFFFF"/>
        </w:rPr>
        <w:t>“悬崖秋千”监管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eastAsia" w:ascii="宋体" w:hAnsi="宋体" w:eastAsia="宋体" w:cs="宋体"/>
          <w:sz w:val="32"/>
          <w:szCs w:val="32"/>
        </w:rPr>
      </w:pPr>
      <w:r>
        <w:rPr>
          <w:rFonts w:hint="default" w:ascii="仿宋_GB2312" w:hAnsi="宋体" w:eastAsia="仿宋_GB2312" w:cs="仿宋_GB2312"/>
          <w:color w:val="333333"/>
          <w:sz w:val="32"/>
          <w:szCs w:val="32"/>
          <w:bdr w:val="none" w:color="auto" w:sz="0" w:space="0"/>
          <w:shd w:val="clear" w:fill="FFFFFF"/>
        </w:rPr>
        <w:t>“悬崖秋千”纳入特种设备中的大型游乐设施实施监管，归为无动力游乐设施中的空中飞人系列。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eastAsia" w:ascii="宋体" w:hAnsi="宋体" w:eastAsia="宋体" w:cs="宋体"/>
          <w:sz w:val="32"/>
          <w:szCs w:val="32"/>
        </w:rPr>
      </w:pPr>
      <w:r>
        <w:rPr>
          <w:rFonts w:hint="default" w:ascii="仿宋_GB2312" w:hAnsi="宋体" w:eastAsia="仿宋_GB2312" w:cs="仿宋_GB2312"/>
          <w:color w:val="333333"/>
          <w:sz w:val="32"/>
          <w:szCs w:val="32"/>
          <w:bdr w:val="none" w:color="auto" w:sz="0" w:space="0"/>
          <w:shd w:val="clear" w:fill="FFFFFF"/>
        </w:rPr>
        <w:t>（一）本规程发布之日起，“悬崖秋千”的生产单位应当取得大型游乐设施生产许可证，产品应当按本规程通过设计文件鉴定、型式试验、监督检验，并按要求办理使用登记后，方可投入使用。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eastAsia" w:ascii="宋体" w:hAnsi="宋体" w:eastAsia="宋体" w:cs="宋体"/>
          <w:sz w:val="32"/>
          <w:szCs w:val="32"/>
        </w:rPr>
      </w:pPr>
      <w:r>
        <w:rPr>
          <w:rFonts w:hint="default" w:ascii="仿宋_GB2312" w:hAnsi="宋体" w:eastAsia="仿宋_GB2312" w:cs="仿宋_GB2312"/>
          <w:color w:val="333333"/>
          <w:sz w:val="32"/>
          <w:szCs w:val="32"/>
          <w:bdr w:val="none" w:color="auto" w:sz="0" w:space="0"/>
          <w:shd w:val="clear" w:fill="FFFFFF"/>
        </w:rPr>
        <w:t>（二）本规程发布之日前已安装的在用设备，运营使用单位可委托具有相应资质的制造单位协助整改，并向相应检验机构申请监督检验。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eastAsia" w:ascii="宋体" w:hAnsi="宋体" w:eastAsia="宋体" w:cs="宋体"/>
          <w:sz w:val="32"/>
          <w:szCs w:val="32"/>
        </w:rPr>
      </w:pPr>
      <w:r>
        <w:rPr>
          <w:rFonts w:hint="default" w:ascii="仿宋_GB2312" w:hAnsi="宋体" w:eastAsia="仿宋_GB2312" w:cs="仿宋_GB2312"/>
          <w:color w:val="333333"/>
          <w:sz w:val="32"/>
          <w:szCs w:val="32"/>
          <w:bdr w:val="none" w:color="auto" w:sz="0" w:space="0"/>
          <w:shd w:val="clear" w:fill="FFFFFF"/>
        </w:rPr>
        <w:t>（三）过渡期满后，未经检验合格并办理使用登记的“悬崖秋千”设备不得使用。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eastAsia" w:ascii="宋体" w:hAnsi="宋体" w:eastAsia="宋体" w:cs="宋体"/>
          <w:sz w:val="32"/>
          <w:szCs w:val="32"/>
        </w:rPr>
      </w:pPr>
      <w:r>
        <w:rPr>
          <w:rFonts w:hint="default" w:ascii="仿宋_GB2312" w:hAnsi="宋体" w:eastAsia="仿宋_GB2312" w:cs="仿宋_GB2312"/>
          <w:color w:val="333333"/>
          <w:sz w:val="32"/>
          <w:szCs w:val="32"/>
          <w:bdr w:val="none" w:color="auto" w:sz="0" w:space="0"/>
          <w:shd w:val="clear" w:fill="FFFFFF"/>
        </w:rPr>
        <w:t>特此公告。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eastAsia" w:ascii="宋体" w:hAnsi="宋体" w:eastAsia="宋体" w:cs="宋体"/>
          <w:sz w:val="32"/>
          <w:szCs w:val="32"/>
        </w:rPr>
      </w:pPr>
      <w:r>
        <w:rPr>
          <w:rFonts w:hint="default" w:ascii="仿宋_GB2312" w:hAnsi="宋体" w:eastAsia="仿宋_GB2312" w:cs="仿宋_GB2312"/>
          <w:color w:val="333333"/>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eastAsia" w:ascii="宋体" w:hAnsi="宋体" w:eastAsia="宋体" w:cs="宋体"/>
          <w:sz w:val="32"/>
          <w:szCs w:val="32"/>
        </w:rPr>
      </w:pPr>
      <w:r>
        <w:rPr>
          <w:rFonts w:hint="default" w:ascii="仿宋_GB2312" w:hAnsi="宋体" w:eastAsia="仿宋_GB2312" w:cs="仿宋_GB2312"/>
          <w:color w:val="333333"/>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eastAsia" w:ascii="宋体" w:hAnsi="宋体" w:eastAsia="宋体" w:cs="宋体"/>
          <w:sz w:val="32"/>
          <w:szCs w:val="32"/>
        </w:rPr>
      </w:pPr>
      <w:r>
        <w:rPr>
          <w:rFonts w:hint="default" w:ascii="仿宋_GB2312" w:hAnsi="宋体" w:eastAsia="仿宋_GB2312" w:cs="仿宋_GB2312"/>
          <w:color w:val="333333"/>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1738" w:firstLine="200"/>
        <w:jc w:val="right"/>
        <w:rPr>
          <w:rFonts w:hint="eastAsia" w:ascii="宋体" w:hAnsi="宋体" w:eastAsia="宋体" w:cs="宋体"/>
          <w:sz w:val="32"/>
          <w:szCs w:val="32"/>
        </w:rPr>
      </w:pPr>
      <w:r>
        <w:rPr>
          <w:rFonts w:hint="default" w:ascii="仿宋_GB2312" w:hAnsi="宋体" w:eastAsia="仿宋_GB2312" w:cs="仿宋_GB2312"/>
          <w:color w:val="333333"/>
          <w:sz w:val="32"/>
          <w:szCs w:val="32"/>
          <w:bdr w:val="none" w:color="auto" w:sz="0" w:space="0"/>
        </w:rPr>
        <w:t>市场监管总局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200"/>
        <w:jc w:val="both"/>
        <w:rPr>
          <w:rFonts w:hint="eastAsia" w:ascii="宋体" w:hAnsi="宋体" w:eastAsia="宋体" w:cs="宋体"/>
          <w:sz w:val="32"/>
          <w:szCs w:val="32"/>
        </w:rPr>
      </w:pPr>
      <w:r>
        <w:rPr>
          <w:rFonts w:hint="eastAsia" w:ascii="宋体" w:hAnsi="宋体" w:eastAsia="宋体" w:cs="宋体"/>
          <w:color w:val="333333"/>
          <w:sz w:val="32"/>
          <w:szCs w:val="32"/>
          <w:bdr w:val="none" w:color="auto" w:sz="0" w:space="0"/>
        </w:rPr>
        <w:t>                                                                                                 2023</w:t>
      </w:r>
      <w:r>
        <w:rPr>
          <w:rFonts w:hint="default" w:ascii="仿宋_GB2312" w:hAnsi="宋体" w:eastAsia="仿宋_GB2312" w:cs="仿宋_GB2312"/>
          <w:color w:val="333333"/>
          <w:sz w:val="32"/>
          <w:szCs w:val="32"/>
          <w:bdr w:val="none" w:color="auto" w:sz="0" w:space="0"/>
        </w:rPr>
        <w:t>年</w:t>
      </w:r>
      <w:r>
        <w:rPr>
          <w:rFonts w:hint="default" w:ascii="Times New Roman" w:hAnsi="Times New Roman" w:eastAsia="宋体" w:cs="Times New Roman"/>
          <w:color w:val="333333"/>
          <w:sz w:val="32"/>
          <w:szCs w:val="32"/>
          <w:bdr w:val="none" w:color="auto" w:sz="0" w:space="0"/>
        </w:rPr>
        <w:t>11</w:t>
      </w:r>
      <w:r>
        <w:rPr>
          <w:rFonts w:hint="default" w:ascii="仿宋_GB2312" w:hAnsi="宋体" w:eastAsia="仿宋_GB2312" w:cs="仿宋_GB2312"/>
          <w:color w:val="333333"/>
          <w:sz w:val="32"/>
          <w:szCs w:val="32"/>
          <w:bdr w:val="none" w:color="auto" w:sz="0" w:space="0"/>
        </w:rPr>
        <w:t>月</w:t>
      </w:r>
      <w:r>
        <w:rPr>
          <w:rFonts w:hint="default" w:ascii="Times New Roman" w:hAnsi="Times New Roman" w:eastAsia="宋体" w:cs="Times New Roman"/>
          <w:color w:val="333333"/>
          <w:sz w:val="32"/>
          <w:szCs w:val="32"/>
          <w:bdr w:val="none" w:color="auto" w:sz="0" w:space="0"/>
        </w:rPr>
        <w:t>29</w:t>
      </w:r>
      <w:r>
        <w:rPr>
          <w:rFonts w:hint="default" w:ascii="仿宋_GB2312" w:hAnsi="宋体" w:eastAsia="仿宋_GB2312" w:cs="仿宋_GB2312"/>
          <w:color w:val="333333"/>
          <w:sz w:val="32"/>
          <w:szCs w:val="32"/>
          <w:bdr w:val="none" w:color="auto" w:sz="0" w:space="0"/>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7AF17"/>
    <w:multiLevelType w:val="multilevel"/>
    <w:tmpl w:val="84A7AF1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9AF6ACC9"/>
    <w:multiLevelType w:val="multilevel"/>
    <w:tmpl w:val="9AF6ACC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D122877E"/>
    <w:multiLevelType w:val="multilevel"/>
    <w:tmpl w:val="D122877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D34AD21E"/>
    <w:multiLevelType w:val="multilevel"/>
    <w:tmpl w:val="D34AD21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D9AA1BF6"/>
    <w:multiLevelType w:val="multilevel"/>
    <w:tmpl w:val="D9AA1BF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E2D33244"/>
    <w:multiLevelType w:val="multilevel"/>
    <w:tmpl w:val="E2D3324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6A6DB049"/>
    <w:multiLevelType w:val="multilevel"/>
    <w:tmpl w:val="6A6DB04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 w:numId="2">
    <w:abstractNumId w:val="6"/>
  </w:num>
  <w:num w:numId="3">
    <w:abstractNumId w:val="2"/>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00000000"/>
    <w:rsid w:val="5BCF4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2023-12-11T01:28:23Z</dcterms:created>
  <dc:creator>Administrator</dc:creator>
  <cp:lastModifiedBy>玲俐</cp:lastModifiedBy>
  <dcterms:modified xsi:type="dcterms:W3CDTF">2023-12-11T01:28:33Z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0D441A8DCCBE42C3832E701392813143_12</vt:lpwstr>
  </property>
</Properties>
</file>