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46" w:beforeAutospacing="0" w:after="0" w:afterAutospacing="0"/>
        <w:ind w:left="0" w:right="0"/>
        <w:jc w:val="center"/>
        <w:rPr>
          <w:b w:val="0"/>
          <w:bCs w:val="0"/>
          <w:sz w:val="36"/>
          <w:szCs w:val="36"/>
        </w:rPr>
      </w:pPr>
      <w:r>
        <w:rPr>
          <w:b w:val="0"/>
          <w:bCs w:val="0"/>
          <w:i w:val="0"/>
          <w:iCs w:val="0"/>
          <w:caps w:val="0"/>
          <w:color w:val="333333"/>
          <w:spacing w:val="0"/>
          <w:sz w:val="36"/>
          <w:szCs w:val="36"/>
          <w:bdr w:val="none" w:color="auto" w:sz="0" w:space="0"/>
          <w:shd w:val="clear" w:fill="FFFFFF"/>
        </w:rPr>
        <w:t>国家安全监管总局关于公布建设项目职业病危害风险分类管理目录（2012年版）的通知</w:t>
      </w:r>
    </w:p>
    <w:p>
      <w:pPr>
        <w:keepNext w:val="0"/>
        <w:keepLines w:val="0"/>
        <w:widowControl/>
        <w:suppressLineNumbers w:val="0"/>
        <w:pBdr>
          <w:top w:val="none" w:color="auto" w:sz="0" w:space="0"/>
          <w:left w:val="none" w:color="auto" w:sz="0" w:space="0"/>
          <w:bottom w:val="single" w:color="D8D8D8" w:sz="6"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5C5C5C"/>
          <w:spacing w:val="0"/>
          <w:sz w:val="24"/>
          <w:szCs w:val="24"/>
        </w:rPr>
      </w:pPr>
      <w:r>
        <w:rPr>
          <w:rFonts w:ascii="宋体" w:hAnsi="宋体" w:eastAsia="宋体" w:cs="宋体"/>
          <w:i w:val="0"/>
          <w:iCs w:val="0"/>
          <w:caps w:val="0"/>
          <w:color w:val="5C5C5C"/>
          <w:spacing w:val="0"/>
          <w:kern w:val="0"/>
          <w:sz w:val="24"/>
          <w:szCs w:val="24"/>
          <w:shd w:val="clear" w:fill="FFFFFF"/>
          <w:lang w:val="en-US" w:eastAsia="zh-CN" w:bidi="ar"/>
        </w:rPr>
        <w:t>2012-06-04 09:31来源：安全监管总局职业安全健康监督管理司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144" w:right="144" w:firstLine="723"/>
        <w:jc w:val="center"/>
        <w:rPr>
          <w:rFonts w:ascii="宋体" w:hAnsi="宋体" w:eastAsia="宋体" w:cs="宋体"/>
          <w:color w:val="333333"/>
          <w:sz w:val="32"/>
          <w:szCs w:val="32"/>
        </w:rPr>
      </w:pPr>
      <w:bookmarkStart w:id="0" w:name="_GoBack"/>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国家安全监管总局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144" w:right="144" w:firstLine="723"/>
        <w:jc w:val="center"/>
        <w:rPr>
          <w:rFonts w:ascii="宋体" w:hAnsi="宋体" w:eastAsia="宋体" w:cs="宋体"/>
          <w:color w:val="333333"/>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关于公布建设项目职业病危害风险分类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144" w:right="144" w:firstLine="723"/>
        <w:jc w:val="center"/>
        <w:rPr>
          <w:rFonts w:ascii="宋体" w:hAnsi="宋体" w:eastAsia="宋体" w:cs="宋体"/>
          <w:color w:val="333333"/>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管理目录（</w:t>
      </w: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2012</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年版）的通知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144" w:right="144" w:firstLine="420"/>
        <w:jc w:val="center"/>
        <w:rPr>
          <w:rFonts w:ascii="宋体" w:hAnsi="宋体" w:eastAsia="宋体" w:cs="宋体"/>
          <w:color w:val="333333"/>
          <w:sz w:val="32"/>
          <w:szCs w:val="32"/>
        </w:rPr>
      </w:pPr>
      <w:r>
        <w:rPr>
          <w:rFonts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安监总安健〔</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2012〕73号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144" w:right="144"/>
        <w:jc w:val="left"/>
        <w:rPr>
          <w:rFonts w:ascii="宋体" w:hAnsi="宋体" w:eastAsia="宋体" w:cs="宋体"/>
          <w:color w:val="333333"/>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各省、自治区、直辖市及新疆生产建设兵团安全生产监督管理局，各省级煤矿安全监察局，有关中央企业：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144" w:right="144" w:firstLine="420"/>
        <w:jc w:val="left"/>
        <w:rPr>
          <w:rFonts w:ascii="宋体" w:hAnsi="宋体" w:eastAsia="宋体" w:cs="宋体"/>
          <w:color w:val="333333"/>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为加强建设项目职业卫生“三同时”的监督管理工作，根据《中华人民共和国职业病防治法》第十七条及《建设项目职业卫生“三同时”监督管理暂行办法》（国家安全监管总局令第</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51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号）第六条的规定，国家安全监管总局组织编制了《建设项目职业病危害风险分类管理目录（</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2012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年版）》（以下简称《目录》），现予公布，并就有关事项通知如下：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144" w:right="144" w:firstLine="420"/>
        <w:jc w:val="left"/>
        <w:rPr>
          <w:rFonts w:ascii="宋体" w:hAnsi="宋体" w:eastAsia="宋体" w:cs="宋体"/>
          <w:color w:val="333333"/>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目录》是指导安全生产监督管理部门实行建设项目职业卫生“三同时”分类监督管理的依据，各级安全生产监督管理部门应按照《建设项目职业卫生“三同时”监督管理暂行办法》和《目录》对建设项目职业卫生“三同时”工作实施监督管理，并指导建设单位和职业卫生技术服务机构开展建设项目职业病危害评价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144" w:right="144" w:firstLine="420"/>
        <w:jc w:val="left"/>
        <w:rPr>
          <w:rFonts w:ascii="宋体" w:hAnsi="宋体" w:eastAsia="宋体" w:cs="宋体"/>
          <w:color w:val="333333"/>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二、《目录》是在综合考虑《职业病危害因素分类目录》所列各类职业病危害因素及其可能产生的职业病和建设项目可能产生职业病危害的风险程度的基础上，按照《国民经济行业分类》（</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GB/T 4754-2011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），对可能存在职业病危害的主要行业进行的分类。《目录》由国家安全监管总局定期修订公布。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144" w:right="144" w:firstLine="420"/>
        <w:jc w:val="left"/>
        <w:rPr>
          <w:rFonts w:ascii="宋体" w:hAnsi="宋体" w:eastAsia="宋体" w:cs="宋体"/>
          <w:color w:val="333333"/>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在实际运用中，如果建设项目拟采用的原材料、主要生产工艺和产品等可能产生的职业病危害的风险程度，与其在《目录》中所列行业职业病危害的风险程度有明显区别的，建设单位和职业卫生技术服务机构可以通过职业病危害预评价作出综合判断，根据评价结果确定该建设项目职业病危害的风险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144" w:right="144" w:firstLine="420"/>
        <w:jc w:val="left"/>
        <w:rPr>
          <w:rFonts w:ascii="宋体" w:hAnsi="宋体" w:eastAsia="宋体" w:cs="宋体"/>
          <w:color w:val="333333"/>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三、各省级安全生产监督管理部门可以根据本地区建设项目职业卫生“三同时”工作的实际情况，对《目录》作出调整补充。</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144" w:right="144" w:firstLine="420"/>
        <w:jc w:val="right"/>
        <w:rPr>
          <w:rFonts w:ascii="宋体" w:hAnsi="宋体" w:eastAsia="宋体" w:cs="宋体"/>
          <w:color w:val="333333"/>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国家安全监管总局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144" w:right="144" w:firstLine="420"/>
        <w:jc w:val="right"/>
        <w:rPr>
          <w:rFonts w:ascii="宋体" w:hAnsi="宋体" w:eastAsia="宋体" w:cs="宋体"/>
          <w:color w:val="333333"/>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二〇一二年五月三十一日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4" w:right="144"/>
        <w:jc w:val="center"/>
        <w:rPr>
          <w:rFonts w:ascii="宋体" w:hAnsi="宋体" w:eastAsia="宋体" w:cs="宋体"/>
          <w:color w:val="333333"/>
          <w:sz w:val="32"/>
          <w:szCs w:val="3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600" w:lineRule="atLeast"/>
        <w:ind w:left="144" w:right="144"/>
        <w:jc w:val="center"/>
        <w:rPr>
          <w:rFonts w:ascii="宋体" w:hAnsi="宋体" w:eastAsia="宋体" w:cs="宋体"/>
          <w:color w:val="333333"/>
          <w:sz w:val="32"/>
          <w:szCs w:val="3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建设项目职业病危害风险分类管理目录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600" w:lineRule="atLeast"/>
        <w:ind w:left="144" w:right="144"/>
        <w:jc w:val="center"/>
        <w:rPr>
          <w:rFonts w:ascii="宋体" w:hAnsi="宋体" w:eastAsia="宋体" w:cs="宋体"/>
          <w:color w:val="333333"/>
          <w:sz w:val="32"/>
          <w:szCs w:val="3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（2012年版）</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180"/>
        <w:gridCol w:w="3883"/>
        <w:gridCol w:w="1159"/>
        <w:gridCol w:w="1159"/>
        <w:gridCol w:w="114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tblHeader/>
          <w:jc w:val="center"/>
        </w:trPr>
        <w:tc>
          <w:tcPr>
            <w:tcW w:w="1080"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序号</w:t>
            </w:r>
          </w:p>
        </w:tc>
        <w:tc>
          <w:tcPr>
            <w:tcW w:w="3883"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类别名称</w:t>
            </w:r>
          </w:p>
        </w:tc>
        <w:tc>
          <w:tcPr>
            <w:tcW w:w="1159"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严重</w:t>
            </w:r>
          </w:p>
        </w:tc>
        <w:tc>
          <w:tcPr>
            <w:tcW w:w="1159"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较重</w:t>
            </w:r>
          </w:p>
        </w:tc>
        <w:tc>
          <w:tcPr>
            <w:tcW w:w="115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一般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黑体" w:hAnsi="宋体" w:eastAsia="黑体" w:cs="黑体"/>
                <w:b/>
                <w:bCs/>
                <w:i w:val="0"/>
                <w:iCs w:val="0"/>
                <w:color w:val="000000"/>
                <w:kern w:val="0"/>
                <w:sz w:val="32"/>
                <w:szCs w:val="32"/>
                <w:bdr w:val="none" w:color="auto" w:sz="0" w:space="0"/>
                <w:lang w:val="en-US" w:eastAsia="zh-CN" w:bidi="ar"/>
              </w:rPr>
              <w:t>一</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采矿业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（一）</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煤炭开采和洗选业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烟煤和无烟煤开采洗选</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褐煤开采洗选</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其他煤采选</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石油和天然气开采业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石油开采</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高含硫化氢气田开采</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其他天然气开采</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（三）</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黑色金属矿采选业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铁矿采选</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锰矿、铬矿采选</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其他黑色金属矿采选</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（四）</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有色金属矿采选业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常用有色金属矿采选</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贵金属矿采选</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稀有稀土金属矿采选</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（五）</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非金属矿采选业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土砂石开采</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化学矿开采</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采盐（井工开采）</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4</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采盐（其他方式）</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5</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石棉及其他非金属矿采选</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6</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石英砂开采及加工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（六）</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其他采矿业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二</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（一）</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农副食品加工业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谷物磨制</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饲料加工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植物油加工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4</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制糖业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5</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屠宰及肉类加工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食品制造业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（三）</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酒制造业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（四）</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烟草制品业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（五）</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纺织业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棉纺织及印染精加工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8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毛纺织及染整精加工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麻纺织及染整精加工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4</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丝绢纺织及印染精加工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5</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化纤织造及印染精加工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8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7</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家用纺织制成品制造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（六）</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纺织服装、服饰业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（七）</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皮革、毛皮、羽毛及其制品和制鞋业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皮革鞣制加工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皮革制品制造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毛皮鞣制及制品加工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4</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羽毛(绒)加工及制品制造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5</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制鞋业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（八）</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木材加工和木制品业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木材加工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人造板制造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木制品制造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（九）</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家具制造业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木质家具制造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竹、藤家具制造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金属家具制造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（十）</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造纸和纸制品业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纸浆制造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造纸</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纸制品制造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（十一）</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印刷业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（十二）</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石油加工、炼焦和核燃料加工业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精炼石油产品制造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炼焦</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核燃料加工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（十三）</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化学原料和化学制品制造业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基础化学原料制造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肥料制造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农药制造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4</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涂料、油墨、颜料及类似产品制造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5</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合成材料制造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6</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专用化学产品制造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7</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炸药、火工及焰火产品制造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8</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日用化学产品制造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（十四）</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医药制造业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化学药品原料药制造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化学药品制剂制造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中药饮片加工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4</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中成药生产</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5</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兽用药品制造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6</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生物药品制造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7</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卫生材料及医药用品制造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（十五）</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化学纤维制造业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纤维素纤维原料及纤维制造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合成纤维制造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（十六）</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橡胶和塑料制品业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橡胶制品业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塑料制品业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（十七）</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非金属矿物制品业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水泥、石灰和石膏制造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石膏、水泥制品及类似制品制造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砖瓦、石材等建筑材料制造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4</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玻璃制造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5</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玻璃制品制造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6</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玻璃纤维和玻璃纤维增强塑料制品制造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7</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陶瓷制品制造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8</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耐火材料制品制造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9</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石墨及其他非金属矿物制品制造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（十八）</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黑色金属冶炼和压延加工业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炼铁</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炼钢</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黑色金属铸造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4</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钢压延加工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5</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铁合金冶炼</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（十九）</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有色金属冶炼和压延加工业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常用有色金属冶炼</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贵金属冶炼</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稀有稀土金属冶炼</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4</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有色金属合金制造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5</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有色金属铸造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6</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有色金属压延加工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（二十）</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金属制品业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（二十一）</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通用设备制造业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（二十二）</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专用设备制造业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（二十三）</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汽车制造业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（二十四）</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铁路、船舶、航空航天和其他运输设备制造业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（二十五）</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电气机械和器材制造业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（二十六）</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计算机、通信和其他电子设备制造业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（二十七）</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仪器仪表制造业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（二十八）</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其他制造业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日用杂品制造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煤制品制造</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核辐射加工</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4</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其他未列明制造业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（二十九）</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废弃资源综合利用业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金属废料和碎屑加工处理</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非金属废料和碎屑加工处理</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（三十）</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金属制品、机械和设备修理业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三</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电力、热力、燃气及水生产和供应业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（一）</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电力、热力生产和供应业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火力发电（燃煤发电）</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核力发电</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其他电力生产</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4</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电力供应</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5</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热力生产和供应</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燃气生产和供应业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燃气生产</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燃气供应</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（三）</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水的生产和供应业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自来水生产和供应</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污水处理及其再生利用</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其他水的处理、利用和分配</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四</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交通运输、仓储业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（一）</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铁路、水上、航空运输业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货运火车站</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货运港口</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机场</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管道运输业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（三）</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装卸搬运和运输代理业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装卸搬运</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（四）</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仓储业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谷物、棉花等农产品仓储</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其他仓储业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五</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科学研究和技术服务业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（一）</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研究和试验发展</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六</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水利、环境和公共设施管理业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shd w:val="clear" w:fill="C0C0C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shd w:val="clear" w:fill="C0C0C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shd w:val="clear" w:fill="C0C0C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（一）</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生态保护和环境治理业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固体废物治理</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2</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危险废物治理</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3</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放射性废物治理</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4</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环境卫生管理（生活垃圾处理）</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七</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居民服务、修理和其他服务业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（一）</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居民服务业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洗染服务</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（二）</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机动车、电子产品和日用产品修理业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ascii="宋体" w:hAnsi="宋体" w:eastAsia="宋体" w:cs="宋体"/>
                <w:color w:val="000000"/>
                <w:kern w:val="0"/>
                <w:sz w:val="32"/>
                <w:szCs w:val="32"/>
                <w:bdr w:val="none" w:color="auto" w:sz="0" w:space="0"/>
                <w:lang w:val="en-US" w:eastAsia="zh-CN" w:bidi="ar"/>
              </w:rPr>
              <w:t>1</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汽车、摩托车修理与维护</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3"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八</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黑体" w:hAnsi="宋体" w:eastAsia="黑体" w:cs="黑体"/>
                <w:b/>
                <w:bCs/>
                <w:i w:val="0"/>
                <w:iCs w:val="0"/>
                <w:color w:val="000000"/>
                <w:kern w:val="0"/>
                <w:sz w:val="32"/>
                <w:szCs w:val="32"/>
                <w:bdr w:val="none" w:color="auto" w:sz="0" w:space="0"/>
                <w:lang w:val="en-US" w:eastAsia="zh-CN" w:bidi="ar"/>
              </w:rPr>
              <w:t>农、林、牧、渔业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5" w:hRule="atLeast"/>
          <w:jc w:val="center"/>
        </w:trPr>
        <w:tc>
          <w:tcPr>
            <w:tcW w:w="10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（一）</w:t>
            </w:r>
          </w:p>
        </w:tc>
        <w:tc>
          <w:tcPr>
            <w:tcW w:w="38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宋体" w:hAnsi="宋体" w:eastAsia="宋体" w:cs="宋体"/>
                <w:color w:val="333333"/>
                <w:sz w:val="32"/>
                <w:szCs w:val="32"/>
              </w:rPr>
            </w:pPr>
            <w:r>
              <w:rPr>
                <w:rFonts w:hint="eastAsia" w:ascii="宋体" w:hAnsi="宋体" w:eastAsia="宋体" w:cs="宋体"/>
                <w:b/>
                <w:bCs/>
                <w:i w:val="0"/>
                <w:iCs w:val="0"/>
                <w:color w:val="000000"/>
                <w:kern w:val="0"/>
                <w:sz w:val="32"/>
                <w:szCs w:val="32"/>
                <w:bdr w:val="none" w:color="auto" w:sz="0" w:space="0"/>
                <w:lang w:val="en-US" w:eastAsia="zh-CN" w:bidi="ar"/>
              </w:rPr>
              <w:t>畜牧业</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9"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 </w:t>
            </w:r>
          </w:p>
        </w:tc>
        <w:tc>
          <w:tcPr>
            <w:tcW w:w="11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宋体" w:hAnsi="宋体" w:eastAsia="宋体" w:cs="宋体"/>
                <w:color w:val="333333"/>
                <w:sz w:val="32"/>
                <w:szCs w:val="32"/>
              </w:rPr>
            </w:pPr>
            <w:r>
              <w:rPr>
                <w:rFonts w:hint="eastAsia" w:ascii="宋体" w:hAnsi="宋体" w:eastAsia="宋体" w:cs="宋体"/>
                <w:color w:val="000000"/>
                <w:kern w:val="0"/>
                <w:sz w:val="32"/>
                <w:szCs w:val="32"/>
                <w:bdr w:val="none" w:color="auto" w:sz="0" w:space="0"/>
                <w:lang w:val="en-US" w:eastAsia="zh-CN" w:bidi="ar"/>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17884901"/>
    <w:rsid w:val="1788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2023-09-11T06:48:00Z</dcterms:created>
  <dc:creator>DELL</dc:creator>
  <cp:lastModifiedBy>little fairy</cp:lastModifiedBy>
  <dcterms:modified xsi:type="dcterms:W3CDTF">2023-09-11T06:50:53Z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215ADE8E8A11471D8811E9FAEA70831D_11</vt:lpwstr>
  </property>
</Properties>
</file>