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center"/>
        <w:rPr>
          <w:rFonts w:ascii="宋体" w:hAnsi="宋体" w:eastAsia="宋体" w:cs="宋体"/>
          <w:color w:val="333333"/>
          <w:sz w:val="32"/>
          <w:szCs w:val="32"/>
        </w:rPr>
      </w:pPr>
      <w:bookmarkStart w:id="0" w:name="_GoBack"/>
      <w:r>
        <w:rPr>
          <w:rStyle w:val="4"/>
          <w:rFonts w:hint="eastAsia" w:ascii="宋体" w:hAnsi="宋体" w:eastAsia="宋体" w:cs="宋体"/>
          <w:color w:val="333333"/>
          <w:kern w:val="0"/>
          <w:sz w:val="32"/>
          <w:szCs w:val="32"/>
          <w:bdr w:val="none" w:color="auto" w:sz="0" w:space="0"/>
          <w:lang w:val="en-US" w:eastAsia="zh-CN" w:bidi="ar"/>
        </w:rPr>
        <w:t>企业非药品类易制毒化学品规范化管理指南</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ascii="Calibri" w:hAnsi="Calibri" w:eastAsia="宋体" w:cs="Calibri"/>
          <w:color w:val="333333"/>
          <w:kern w:val="0"/>
          <w:sz w:val="32"/>
          <w:szCs w:val="32"/>
          <w:bdr w:val="none" w:color="auto" w:sz="0" w:space="0"/>
          <w:lang w:val="en-US" w:eastAsia="zh-CN" w:bidi="ar"/>
        </w:rPr>
        <w:t>1</w:t>
      </w:r>
      <w:r>
        <w:rPr>
          <w:rFonts w:hint="default" w:ascii="Calibri" w:hAnsi="Calibri" w:eastAsia="宋体" w:cs="Calibri"/>
          <w:color w:val="333333"/>
          <w:kern w:val="0"/>
          <w:sz w:val="32"/>
          <w:szCs w:val="32"/>
          <w:bdr w:val="none" w:color="auto" w:sz="0" w:space="0"/>
          <w:lang w:val="en-US" w:eastAsia="zh-CN" w:bidi="ar"/>
        </w:rPr>
        <w:t>  </w:t>
      </w:r>
      <w:r>
        <w:rPr>
          <w:rFonts w:hint="eastAsia" w:ascii="宋体" w:hAnsi="宋体" w:eastAsia="宋体" w:cs="宋体"/>
          <w:color w:val="333333"/>
          <w:kern w:val="0"/>
          <w:sz w:val="32"/>
          <w:szCs w:val="32"/>
          <w:bdr w:val="none" w:color="auto" w:sz="0" w:space="0"/>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1.1 </w:t>
      </w:r>
      <w:r>
        <w:rPr>
          <w:rFonts w:hint="eastAsia" w:ascii="宋体" w:hAnsi="宋体" w:eastAsia="宋体" w:cs="宋体"/>
          <w:color w:val="333333"/>
          <w:kern w:val="0"/>
          <w:sz w:val="32"/>
          <w:szCs w:val="32"/>
          <w:bdr w:val="none" w:color="auto" w:sz="0" w:space="0"/>
          <w:lang w:val="en-US" w:eastAsia="zh-CN" w:bidi="ar"/>
        </w:rPr>
        <w:t>为指导企业做好非药品类易制毒化学品管理工作，防止非药品类易制毒化学品流入非法渠道，根据《禁毒法》、《易制毒化学品管理条例》（国务院令第</w:t>
      </w:r>
      <w:r>
        <w:rPr>
          <w:rFonts w:hint="default" w:ascii="Calibri" w:hAnsi="Calibri" w:eastAsia="宋体" w:cs="Calibri"/>
          <w:color w:val="333333"/>
          <w:kern w:val="0"/>
          <w:sz w:val="32"/>
          <w:szCs w:val="32"/>
          <w:bdr w:val="none" w:color="auto" w:sz="0" w:space="0"/>
          <w:lang w:val="en-US" w:eastAsia="zh-CN" w:bidi="ar"/>
        </w:rPr>
        <w:t>445</w:t>
      </w:r>
      <w:r>
        <w:rPr>
          <w:rFonts w:hint="eastAsia" w:ascii="宋体" w:hAnsi="宋体" w:eastAsia="宋体" w:cs="宋体"/>
          <w:color w:val="333333"/>
          <w:kern w:val="0"/>
          <w:sz w:val="32"/>
          <w:szCs w:val="32"/>
          <w:bdr w:val="none" w:color="auto" w:sz="0" w:space="0"/>
          <w:lang w:val="en-US" w:eastAsia="zh-CN" w:bidi="ar"/>
        </w:rPr>
        <w:t>号）、《非药品类易制毒化学品生产、经营许可办法》（国家安全监管总局令第</w:t>
      </w:r>
      <w:r>
        <w:rPr>
          <w:rFonts w:hint="default" w:ascii="Calibri" w:hAnsi="Calibri" w:eastAsia="宋体" w:cs="Calibri"/>
          <w:color w:val="333333"/>
          <w:kern w:val="0"/>
          <w:sz w:val="32"/>
          <w:szCs w:val="32"/>
          <w:bdr w:val="none" w:color="auto" w:sz="0" w:space="0"/>
          <w:lang w:val="en-US" w:eastAsia="zh-CN" w:bidi="ar"/>
        </w:rPr>
        <w:t>5</w:t>
      </w:r>
      <w:r>
        <w:rPr>
          <w:rFonts w:hint="eastAsia" w:ascii="宋体" w:hAnsi="宋体" w:eastAsia="宋体" w:cs="宋体"/>
          <w:color w:val="333333"/>
          <w:kern w:val="0"/>
          <w:sz w:val="32"/>
          <w:szCs w:val="32"/>
          <w:bdr w:val="none" w:color="auto" w:sz="0" w:space="0"/>
          <w:lang w:val="en-US" w:eastAsia="zh-CN" w:bidi="ar"/>
        </w:rPr>
        <w:t>号）、《国家安全监管总局关于进一步加强非药品类易制毒化学品监管工作的指导意见》（安监总管三〔</w:t>
      </w:r>
      <w:r>
        <w:rPr>
          <w:rFonts w:hint="default" w:ascii="Calibri" w:hAnsi="Calibri" w:eastAsia="宋体" w:cs="Calibri"/>
          <w:color w:val="333333"/>
          <w:kern w:val="0"/>
          <w:sz w:val="32"/>
          <w:szCs w:val="32"/>
          <w:bdr w:val="none" w:color="auto" w:sz="0" w:space="0"/>
          <w:lang w:val="en-US" w:eastAsia="zh-CN" w:bidi="ar"/>
        </w:rPr>
        <w:t>2012</w:t>
      </w:r>
      <w:r>
        <w:rPr>
          <w:rFonts w:hint="eastAsia" w:ascii="宋体" w:hAnsi="宋体" w:eastAsia="宋体" w:cs="宋体"/>
          <w:color w:val="333333"/>
          <w:kern w:val="0"/>
          <w:sz w:val="32"/>
          <w:szCs w:val="32"/>
          <w:bdr w:val="none" w:color="auto" w:sz="0" w:space="0"/>
          <w:lang w:val="en-US" w:eastAsia="zh-CN" w:bidi="ar"/>
        </w:rPr>
        <w:t>〕</w:t>
      </w:r>
      <w:r>
        <w:rPr>
          <w:rFonts w:hint="default" w:ascii="Calibri" w:hAnsi="Calibri" w:eastAsia="宋体" w:cs="Calibri"/>
          <w:color w:val="333333"/>
          <w:kern w:val="0"/>
          <w:sz w:val="32"/>
          <w:szCs w:val="32"/>
          <w:bdr w:val="none" w:color="auto" w:sz="0" w:space="0"/>
          <w:lang w:val="en-US" w:eastAsia="zh-CN" w:bidi="ar"/>
        </w:rPr>
        <w:t>79</w:t>
      </w:r>
      <w:r>
        <w:rPr>
          <w:rFonts w:hint="eastAsia" w:ascii="宋体" w:hAnsi="宋体" w:eastAsia="宋体" w:cs="宋体"/>
          <w:color w:val="333333"/>
          <w:kern w:val="0"/>
          <w:sz w:val="32"/>
          <w:szCs w:val="32"/>
          <w:bdr w:val="none" w:color="auto" w:sz="0" w:space="0"/>
          <w:lang w:val="en-US" w:eastAsia="zh-CN" w:bidi="ar"/>
        </w:rPr>
        <w:t>号）等法律法规和规范性文件，制定本指南。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1.2  </w:t>
      </w:r>
      <w:r>
        <w:rPr>
          <w:rFonts w:hint="eastAsia" w:ascii="宋体" w:hAnsi="宋体" w:eastAsia="宋体" w:cs="宋体"/>
          <w:color w:val="333333"/>
          <w:kern w:val="0"/>
          <w:sz w:val="32"/>
          <w:szCs w:val="32"/>
          <w:bdr w:val="none" w:color="auto" w:sz="0" w:space="0"/>
          <w:lang w:val="en-US" w:eastAsia="zh-CN" w:bidi="ar"/>
        </w:rPr>
        <w:t>企业生产、经营非药品类易制毒化学品（以下简称易制毒化学品）的管理，适用本指南。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1.3  </w:t>
      </w:r>
      <w:r>
        <w:rPr>
          <w:rFonts w:hint="eastAsia" w:ascii="宋体" w:hAnsi="宋体" w:eastAsia="宋体" w:cs="宋体"/>
          <w:color w:val="333333"/>
          <w:kern w:val="0"/>
          <w:sz w:val="32"/>
          <w:szCs w:val="32"/>
          <w:bdr w:val="none" w:color="auto" w:sz="0" w:space="0"/>
          <w:lang w:val="en-US" w:eastAsia="zh-CN" w:bidi="ar"/>
        </w:rPr>
        <w:t>企业从事易制毒化学品生产、经营活动，应当办理国家规定的易制毒化学品行政许可或备案手续。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1.4  </w:t>
      </w:r>
      <w:r>
        <w:rPr>
          <w:rFonts w:hint="eastAsia" w:ascii="宋体" w:hAnsi="宋体" w:eastAsia="宋体" w:cs="宋体"/>
          <w:color w:val="333333"/>
          <w:kern w:val="0"/>
          <w:sz w:val="32"/>
          <w:szCs w:val="32"/>
          <w:bdr w:val="none" w:color="auto" w:sz="0" w:space="0"/>
          <w:lang w:val="en-US" w:eastAsia="zh-CN" w:bidi="ar"/>
        </w:rPr>
        <w:t>企业应当履行易制毒化学品管理的社会责任，积极向公安、安全生产监督管理等主管部门（以下简称有关行政主管部门）举报并鼓励员工举报涉及易制毒化学品的违法行为，及时反映易制毒化学品可疑交易线索等异常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2  </w:t>
      </w:r>
      <w:r>
        <w:rPr>
          <w:rFonts w:hint="eastAsia" w:ascii="宋体" w:hAnsi="宋体" w:eastAsia="宋体" w:cs="宋体"/>
          <w:color w:val="333333"/>
          <w:kern w:val="0"/>
          <w:sz w:val="32"/>
          <w:szCs w:val="32"/>
          <w:bdr w:val="none" w:color="auto" w:sz="0" w:space="0"/>
          <w:lang w:val="en-US" w:eastAsia="zh-CN" w:bidi="ar"/>
        </w:rPr>
        <w:t>责任制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2.1  </w:t>
      </w:r>
      <w:r>
        <w:rPr>
          <w:rFonts w:hint="eastAsia" w:ascii="宋体" w:hAnsi="宋体" w:eastAsia="宋体" w:cs="宋体"/>
          <w:color w:val="333333"/>
          <w:kern w:val="0"/>
          <w:sz w:val="32"/>
          <w:szCs w:val="32"/>
          <w:bdr w:val="none" w:color="auto" w:sz="0" w:space="0"/>
          <w:lang w:val="en-US" w:eastAsia="zh-CN" w:bidi="ar"/>
        </w:rPr>
        <w:t>企业应当认真履行易制毒化学品管理责任，建立健全包括主要负责人、分管负责人、销售负责人及其他有关人员在内的责任体系，明确各级人员职责；员工在</w:t>
      </w:r>
      <w:r>
        <w:rPr>
          <w:rFonts w:hint="default" w:ascii="Calibri" w:hAnsi="Calibri" w:eastAsia="宋体" w:cs="Calibri"/>
          <w:color w:val="333333"/>
          <w:kern w:val="0"/>
          <w:sz w:val="32"/>
          <w:szCs w:val="32"/>
          <w:bdr w:val="none" w:color="auto" w:sz="0" w:space="0"/>
          <w:lang w:val="en-US" w:eastAsia="zh-CN" w:bidi="ar"/>
        </w:rPr>
        <w:t>5</w:t>
      </w:r>
      <w:r>
        <w:rPr>
          <w:rFonts w:hint="eastAsia" w:ascii="宋体" w:hAnsi="宋体" w:eastAsia="宋体" w:cs="宋体"/>
          <w:color w:val="333333"/>
          <w:kern w:val="0"/>
          <w:sz w:val="32"/>
          <w:szCs w:val="32"/>
          <w:bdr w:val="none" w:color="auto" w:sz="0" w:space="0"/>
          <w:lang w:val="en-US" w:eastAsia="zh-CN" w:bidi="ar"/>
        </w:rPr>
        <w:t>人以内的微型企业至少应当明确主要负责人和销售人员的易制毒化学品管理职责。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2.2  </w:t>
      </w:r>
      <w:r>
        <w:rPr>
          <w:rFonts w:hint="eastAsia" w:ascii="宋体" w:hAnsi="宋体" w:eastAsia="宋体" w:cs="宋体"/>
          <w:color w:val="333333"/>
          <w:kern w:val="0"/>
          <w:sz w:val="32"/>
          <w:szCs w:val="32"/>
          <w:bdr w:val="none" w:color="auto" w:sz="0" w:space="0"/>
          <w:lang w:val="en-US" w:eastAsia="zh-CN" w:bidi="ar"/>
        </w:rPr>
        <w:t>企业主要负责人是易制毒化学品管理第一责任人。企业主要负责人应当了解有关易制毒化学品管理的法律法规，了解本企业易制毒化学品的基本知识，使企业严格遵守国家易制毒化学品管理各项规定；建立健全易制毒化学品管理责任体系，批准实施企业易制毒化学品管理制度，设置易制毒化学品管理机构，保证易制毒化学品生产、储存等设备设施符合国家规定和要求；保证向有关行政主管部门提交的报告等资料的内容真实；检查各项易制毒化学品管理制度的执行与完善情况；积极推进易制毒化学品管理信息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2.3  </w:t>
      </w:r>
      <w:r>
        <w:rPr>
          <w:rFonts w:hint="eastAsia" w:ascii="宋体" w:hAnsi="宋体" w:eastAsia="宋体" w:cs="宋体"/>
          <w:color w:val="333333"/>
          <w:kern w:val="0"/>
          <w:sz w:val="32"/>
          <w:szCs w:val="32"/>
          <w:bdr w:val="none" w:color="auto" w:sz="0" w:space="0"/>
          <w:lang w:val="en-US" w:eastAsia="zh-CN" w:bidi="ar"/>
        </w:rPr>
        <w:t>企业易制毒化学品分管负责人协助主要负责人分管易制毒化学品管理工作。分管负责人应当学习并组织本企业贯彻落实易制毒化学品管理的法律法规和国家有关规定，学习并掌握本企业易制毒化学品基本知识，组织制定和审核易制毒化学品管理分部门规章制度、各岗位责任制度，组织企业易制毒化学品从业人员的教育培训工作，组织检查易制毒化学品各项管理制度的执行和生产、储存等设备设施的使用情况，组织从生产（或采购）、储存到销售（或自用）的易制毒化学品流向清查工作，组织易制毒化学品管理的持续改进和信息化工作，及时通报、报告易制毒化学品管理情况，组织编制提交有关行政主管部门的定期报告等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2.4  </w:t>
      </w:r>
      <w:r>
        <w:rPr>
          <w:rFonts w:hint="eastAsia" w:ascii="宋体" w:hAnsi="宋体" w:eastAsia="宋体" w:cs="宋体"/>
          <w:color w:val="333333"/>
          <w:kern w:val="0"/>
          <w:sz w:val="32"/>
          <w:szCs w:val="32"/>
          <w:bdr w:val="none" w:color="auto" w:sz="0" w:space="0"/>
          <w:lang w:val="en-US" w:eastAsia="zh-CN" w:bidi="ar"/>
        </w:rPr>
        <w:t>销售负责人全面负责易制毒化学品的销售管理工作。销售负责人应当严格执行易制毒化学品管理的法律法规和国家有关规定，学习并掌握本企业易制毒化学品基本知识，组织制定易制毒化学品销售程序及管理制度并监督销售人员严格遵守，组织建立健全销售台账、档案及销售信息系统，检查台账记录和档案整理情况，定期组织易制毒化学品库存销售盘点，及时通报、报告易制毒化学品销售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2.5 </w:t>
      </w:r>
      <w:r>
        <w:rPr>
          <w:rFonts w:hint="eastAsia" w:ascii="宋体" w:hAnsi="宋体" w:eastAsia="宋体" w:cs="宋体"/>
          <w:color w:val="333333"/>
          <w:kern w:val="0"/>
          <w:sz w:val="32"/>
          <w:szCs w:val="32"/>
          <w:bdr w:val="none" w:color="auto" w:sz="0" w:space="0"/>
          <w:lang w:val="en-US" w:eastAsia="zh-CN" w:bidi="ar"/>
        </w:rPr>
        <w:t>销售人员应当了解易制毒化学品管理法律法规有关规定，掌握本企业易制毒化学品基本知识，严格遵守易制毒化学品销售管理制度和程序，做到按规定留存的买方资料完整有效，销售记录无漏项，台账、档案整齐有序，保证易制毒化学品销售记录清晰、相互衔接可追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2.6  </w:t>
      </w:r>
      <w:r>
        <w:rPr>
          <w:rFonts w:hint="eastAsia" w:ascii="宋体" w:hAnsi="宋体" w:eastAsia="宋体" w:cs="宋体"/>
          <w:color w:val="333333"/>
          <w:kern w:val="0"/>
          <w:sz w:val="32"/>
          <w:szCs w:val="32"/>
          <w:bdr w:val="none" w:color="auto" w:sz="0" w:space="0"/>
          <w:lang w:val="en-US" w:eastAsia="zh-CN" w:bidi="ar"/>
        </w:rPr>
        <w:t>储存管理人员负责易制毒化学品的保管工作，应当熟悉本企业易制毒化学品的物理性质和化学性质，严格执行易制毒化学品存储和出入库制度，做到出入库记录完整、记录台账清晰，做到票据、账面记录与实物相符，要经常检查易制毒化学品的存放和安全设施情况，发现异常要及时报告、采取措施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2.7  </w:t>
      </w:r>
      <w:r>
        <w:rPr>
          <w:rFonts w:hint="eastAsia" w:ascii="宋体" w:hAnsi="宋体" w:eastAsia="宋体" w:cs="宋体"/>
          <w:color w:val="333333"/>
          <w:kern w:val="0"/>
          <w:sz w:val="32"/>
          <w:szCs w:val="32"/>
          <w:bdr w:val="none" w:color="auto" w:sz="0" w:space="0"/>
          <w:lang w:val="en-US" w:eastAsia="zh-CN" w:bidi="ar"/>
        </w:rPr>
        <w:t>生产管理人员负责易制毒化学品的产出管理工作，应当严格执行易制毒化学品产成品登记入账制度，做到准确、及时记录每班次投料、产成品数量等，做到及时办理产成品入库和签收，做到产成品记录和入库签收凭证账目完整、清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2.8  </w:t>
      </w:r>
      <w:r>
        <w:rPr>
          <w:rFonts w:hint="eastAsia" w:ascii="宋体" w:hAnsi="宋体" w:eastAsia="宋体" w:cs="宋体"/>
          <w:color w:val="333333"/>
          <w:kern w:val="0"/>
          <w:sz w:val="32"/>
          <w:szCs w:val="32"/>
          <w:bdr w:val="none" w:color="auto" w:sz="0" w:space="0"/>
          <w:lang w:val="en-US" w:eastAsia="zh-CN" w:bidi="ar"/>
        </w:rPr>
        <w:t>采购人员负责易制毒化学品、易制毒化学品原料的购入管理工作，应当了解易制毒化学品管理法律法规有关规定，掌握本企业所购易制毒化学品基本知识，应严格执行易制毒化学品、易制毒化学品原料入库入账制度，做到货物来源合法、货物与卖方发货凭证相符，做到及时办理货物入库和签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2.9  </w:t>
      </w:r>
      <w:r>
        <w:rPr>
          <w:rFonts w:hint="eastAsia" w:ascii="宋体" w:hAnsi="宋体" w:eastAsia="宋体" w:cs="宋体"/>
          <w:color w:val="333333"/>
          <w:kern w:val="0"/>
          <w:sz w:val="32"/>
          <w:szCs w:val="32"/>
          <w:bdr w:val="none" w:color="auto" w:sz="0" w:space="0"/>
          <w:lang w:val="en-US" w:eastAsia="zh-CN" w:bidi="ar"/>
        </w:rPr>
        <w:t>接触易制毒化学品的其他相关人员应当了解易制毒化学品管理法律法规有关规定，掌握本企业易制毒化学品的基本知识，严格遵守企业易制毒化学品管理规章制度，按照本岗位职责做好易制毒化学品管理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3  </w:t>
      </w:r>
      <w:r>
        <w:rPr>
          <w:rFonts w:hint="eastAsia" w:ascii="宋体" w:hAnsi="宋体" w:eastAsia="宋体" w:cs="宋体"/>
          <w:color w:val="333333"/>
          <w:kern w:val="0"/>
          <w:sz w:val="32"/>
          <w:szCs w:val="32"/>
          <w:bdr w:val="none" w:color="auto" w:sz="0" w:space="0"/>
          <w:lang w:val="en-US" w:eastAsia="zh-CN" w:bidi="ar"/>
        </w:rPr>
        <w:t>管理机构及职责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3.1 </w:t>
      </w:r>
      <w:r>
        <w:rPr>
          <w:rFonts w:hint="eastAsia" w:ascii="宋体" w:hAnsi="宋体" w:eastAsia="宋体" w:cs="宋体"/>
          <w:color w:val="333333"/>
          <w:kern w:val="0"/>
          <w:sz w:val="32"/>
          <w:szCs w:val="32"/>
          <w:bdr w:val="none" w:color="auto" w:sz="0" w:space="0"/>
          <w:lang w:val="en-US" w:eastAsia="zh-CN" w:bidi="ar"/>
        </w:rPr>
        <w:t>企业应当设置易制毒化学品管理机构。根据企业实际，可以设专门机构、挂靠机构或者非常设机构，由易制毒化学品分管负责人领导，至少配置一名专职或者固定人员负责易制毒化学品管理机构日常工作。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3.2 </w:t>
      </w:r>
      <w:r>
        <w:rPr>
          <w:rFonts w:hint="eastAsia" w:ascii="宋体" w:hAnsi="宋体" w:eastAsia="宋体" w:cs="宋体"/>
          <w:color w:val="333333"/>
          <w:kern w:val="0"/>
          <w:sz w:val="32"/>
          <w:szCs w:val="32"/>
          <w:bdr w:val="none" w:color="auto" w:sz="0" w:space="0"/>
          <w:lang w:val="en-US" w:eastAsia="zh-CN" w:bidi="ar"/>
        </w:rPr>
        <w:t>易制毒化学品管理机构负责本企业易制毒化学品管理的组织、监督工作，承办企业易制毒化学品分管负责人交办的工作，检查易制毒化学品管理制度执行及各类台账记录情况，开展易制毒化学品从业人员的教育培训，编制、报送企业易制毒化学品情况报告和信息报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4  </w:t>
      </w:r>
      <w:r>
        <w:rPr>
          <w:rFonts w:hint="eastAsia" w:ascii="宋体" w:hAnsi="宋体" w:eastAsia="宋体" w:cs="宋体"/>
          <w:color w:val="333333"/>
          <w:kern w:val="0"/>
          <w:sz w:val="32"/>
          <w:szCs w:val="32"/>
          <w:bdr w:val="none" w:color="auto" w:sz="0" w:space="0"/>
          <w:lang w:val="en-US" w:eastAsia="zh-CN" w:bidi="ar"/>
        </w:rPr>
        <w:t>采购管理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4.1 </w:t>
      </w:r>
      <w:r>
        <w:rPr>
          <w:rFonts w:hint="eastAsia" w:ascii="宋体" w:hAnsi="宋体" w:eastAsia="宋体" w:cs="宋体"/>
          <w:color w:val="333333"/>
          <w:kern w:val="0"/>
          <w:sz w:val="32"/>
          <w:szCs w:val="32"/>
          <w:bdr w:val="none" w:color="auto" w:sz="0" w:space="0"/>
          <w:lang w:val="en-US" w:eastAsia="zh-CN" w:bidi="ar"/>
        </w:rPr>
        <w:t>企业采购易制毒化学品，应选择有相应易制毒化学品经营许可或备案资质的供货方，依法办理易制毒化学品购买、运输等相关手续。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4.2  </w:t>
      </w:r>
      <w:r>
        <w:rPr>
          <w:rFonts w:hint="eastAsia" w:ascii="宋体" w:hAnsi="宋体" w:eastAsia="宋体" w:cs="宋体"/>
          <w:color w:val="333333"/>
          <w:kern w:val="0"/>
          <w:sz w:val="32"/>
          <w:szCs w:val="32"/>
          <w:bdr w:val="none" w:color="auto" w:sz="0" w:space="0"/>
          <w:lang w:val="en-US" w:eastAsia="zh-CN" w:bidi="ar"/>
        </w:rPr>
        <w:t>企业采购易制毒化学品原料，其原料属于危险化学品的，应选择有相应危险化学品经营资质的供货方，按照危险化学品有关安全要求进行运输。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4.3 </w:t>
      </w:r>
      <w:r>
        <w:rPr>
          <w:rFonts w:hint="eastAsia" w:ascii="宋体" w:hAnsi="宋体" w:eastAsia="宋体" w:cs="宋体"/>
          <w:color w:val="333333"/>
          <w:kern w:val="0"/>
          <w:sz w:val="32"/>
          <w:szCs w:val="32"/>
          <w:bdr w:val="none" w:color="auto" w:sz="0" w:space="0"/>
          <w:lang w:val="en-US" w:eastAsia="zh-CN" w:bidi="ar"/>
        </w:rPr>
        <w:t>采购的易制毒化学品，其包装必须标明易制毒化学品的规范名称、化学分子式、成分和含量。采购的易制毒化学品、易制毒化学品原料属于危险化学品的，必须附有按照国家标准编制的化学品安全技术说明书和安全标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4.4  </w:t>
      </w:r>
      <w:r>
        <w:rPr>
          <w:rFonts w:hint="eastAsia" w:ascii="宋体" w:hAnsi="宋体" w:eastAsia="宋体" w:cs="宋体"/>
          <w:color w:val="333333"/>
          <w:kern w:val="0"/>
          <w:sz w:val="32"/>
          <w:szCs w:val="32"/>
          <w:bdr w:val="none" w:color="auto" w:sz="0" w:space="0"/>
          <w:lang w:val="en-US" w:eastAsia="zh-CN" w:bidi="ar"/>
        </w:rPr>
        <w:t>采购的易制毒化学品、易制毒化学品原料须及时入库入账。入库时应严格核对品种、数量、规格、包装等情况，并做好相应记录。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5  </w:t>
      </w:r>
      <w:r>
        <w:rPr>
          <w:rFonts w:hint="eastAsia" w:ascii="宋体" w:hAnsi="宋体" w:eastAsia="宋体" w:cs="宋体"/>
          <w:color w:val="333333"/>
          <w:kern w:val="0"/>
          <w:sz w:val="32"/>
          <w:szCs w:val="32"/>
          <w:bdr w:val="none" w:color="auto" w:sz="0" w:space="0"/>
          <w:lang w:val="en-US" w:eastAsia="zh-CN" w:bidi="ar"/>
        </w:rPr>
        <w:t>生产和储存管理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5.1  </w:t>
      </w:r>
      <w:r>
        <w:rPr>
          <w:rFonts w:hint="eastAsia" w:ascii="宋体" w:hAnsi="宋体" w:eastAsia="宋体" w:cs="宋体"/>
          <w:color w:val="333333"/>
          <w:kern w:val="0"/>
          <w:sz w:val="32"/>
          <w:szCs w:val="32"/>
          <w:bdr w:val="none" w:color="auto" w:sz="0" w:space="0"/>
          <w:lang w:val="en-US" w:eastAsia="zh-CN" w:bidi="ar"/>
        </w:rPr>
        <w:t>建立易制毒化学品产成品登记入账管理制度。应记录每班次生产易制毒化学品的投料、产量等数据，办理产成品入库手续，记录资料和入库单及签收凭证应整理为产成品登记台账（参见附件</w:t>
      </w:r>
      <w:r>
        <w:rPr>
          <w:rFonts w:hint="default" w:ascii="Calibri" w:hAnsi="Calibri" w:eastAsia="宋体" w:cs="Calibri"/>
          <w:color w:val="333333"/>
          <w:kern w:val="0"/>
          <w:sz w:val="32"/>
          <w:szCs w:val="32"/>
          <w:bdr w:val="none" w:color="auto" w:sz="0" w:space="0"/>
          <w:lang w:val="en-US" w:eastAsia="zh-CN" w:bidi="ar"/>
        </w:rPr>
        <w:t>1</w:t>
      </w:r>
      <w:r>
        <w:rPr>
          <w:rFonts w:hint="eastAsia" w:ascii="宋体" w:hAnsi="宋体" w:eastAsia="宋体" w:cs="宋体"/>
          <w:color w:val="333333"/>
          <w:kern w:val="0"/>
          <w:sz w:val="32"/>
          <w:szCs w:val="32"/>
          <w:bdr w:val="none" w:color="auto" w:sz="0" w:space="0"/>
          <w:lang w:val="en-US" w:eastAsia="zh-CN" w:bidi="ar"/>
        </w:rPr>
        <w:t>）及档案。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5.2  </w:t>
      </w:r>
      <w:r>
        <w:rPr>
          <w:rFonts w:hint="eastAsia" w:ascii="宋体" w:hAnsi="宋体" w:eastAsia="宋体" w:cs="宋体"/>
          <w:color w:val="333333"/>
          <w:kern w:val="0"/>
          <w:sz w:val="32"/>
          <w:szCs w:val="32"/>
          <w:bdr w:val="none" w:color="auto" w:sz="0" w:space="0"/>
          <w:lang w:val="en-US" w:eastAsia="zh-CN" w:bidi="ar"/>
        </w:rPr>
        <w:t>易制毒化学品储存由专人管理，第一类易制毒化学品应实行“双人双锁，双人领取”。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5.3  </w:t>
      </w:r>
      <w:r>
        <w:rPr>
          <w:rFonts w:hint="eastAsia" w:ascii="宋体" w:hAnsi="宋体" w:eastAsia="宋体" w:cs="宋体"/>
          <w:color w:val="333333"/>
          <w:kern w:val="0"/>
          <w:sz w:val="32"/>
          <w:szCs w:val="32"/>
          <w:bdr w:val="none" w:color="auto" w:sz="0" w:space="0"/>
          <w:lang w:val="en-US" w:eastAsia="zh-CN" w:bidi="ar"/>
        </w:rPr>
        <w:t>企业应根据生产、经营的易制毒化学品品种，编制易制毒化学品储存禁配表（参见附件</w:t>
      </w:r>
      <w:r>
        <w:rPr>
          <w:rFonts w:hint="default" w:ascii="Calibri" w:hAnsi="Calibri" w:eastAsia="宋体" w:cs="Calibri"/>
          <w:color w:val="333333"/>
          <w:kern w:val="0"/>
          <w:sz w:val="32"/>
          <w:szCs w:val="32"/>
          <w:bdr w:val="none" w:color="auto" w:sz="0" w:space="0"/>
          <w:lang w:val="en-US" w:eastAsia="zh-CN" w:bidi="ar"/>
        </w:rPr>
        <w:t>2</w:t>
      </w:r>
      <w:r>
        <w:rPr>
          <w:rFonts w:hint="eastAsia" w:ascii="宋体" w:hAnsi="宋体" w:eastAsia="宋体" w:cs="宋体"/>
          <w:color w:val="333333"/>
          <w:kern w:val="0"/>
          <w:sz w:val="32"/>
          <w:szCs w:val="32"/>
          <w:bdr w:val="none" w:color="auto" w:sz="0" w:space="0"/>
          <w:lang w:val="en-US" w:eastAsia="zh-CN" w:bidi="ar"/>
        </w:rPr>
        <w:t>），由储存管理人员严格执行。同时属于危险化学品的，要储存在专用仓库、专用场地内，并按照相关技术标准规定的储存方法、储存数量和安全距离，实行隔离、隔开、分离储存。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5.4  </w:t>
      </w:r>
      <w:r>
        <w:rPr>
          <w:rFonts w:hint="eastAsia" w:ascii="宋体" w:hAnsi="宋体" w:eastAsia="宋体" w:cs="宋体"/>
          <w:color w:val="333333"/>
          <w:kern w:val="0"/>
          <w:sz w:val="32"/>
          <w:szCs w:val="32"/>
          <w:bdr w:val="none" w:color="auto" w:sz="0" w:space="0"/>
          <w:lang w:val="en-US" w:eastAsia="zh-CN" w:bidi="ar"/>
        </w:rPr>
        <w:t>建立易制毒化学品出入库管理制度。须凭出入库单据（参见附件</w:t>
      </w:r>
      <w:r>
        <w:rPr>
          <w:rFonts w:hint="default" w:ascii="Calibri" w:hAnsi="Calibri" w:eastAsia="宋体" w:cs="Calibri"/>
          <w:color w:val="333333"/>
          <w:kern w:val="0"/>
          <w:sz w:val="32"/>
          <w:szCs w:val="32"/>
          <w:bdr w:val="none" w:color="auto" w:sz="0" w:space="0"/>
          <w:lang w:val="en-US" w:eastAsia="zh-CN" w:bidi="ar"/>
        </w:rPr>
        <w:t>3</w:t>
      </w:r>
      <w:r>
        <w:rPr>
          <w:rFonts w:hint="eastAsia" w:ascii="宋体" w:hAnsi="宋体" w:eastAsia="宋体" w:cs="宋体"/>
          <w:color w:val="333333"/>
          <w:kern w:val="0"/>
          <w:sz w:val="32"/>
          <w:szCs w:val="32"/>
          <w:bdr w:val="none" w:color="auto" w:sz="0" w:space="0"/>
          <w:lang w:val="en-US" w:eastAsia="zh-CN" w:bidi="ar"/>
        </w:rPr>
        <w:t>、附件</w:t>
      </w:r>
      <w:r>
        <w:rPr>
          <w:rFonts w:hint="default" w:ascii="Calibri" w:hAnsi="Calibri" w:eastAsia="宋体" w:cs="Calibri"/>
          <w:color w:val="333333"/>
          <w:kern w:val="0"/>
          <w:sz w:val="32"/>
          <w:szCs w:val="32"/>
          <w:bdr w:val="none" w:color="auto" w:sz="0" w:space="0"/>
          <w:lang w:val="en-US" w:eastAsia="zh-CN" w:bidi="ar"/>
        </w:rPr>
        <w:t>4</w:t>
      </w:r>
      <w:r>
        <w:rPr>
          <w:rFonts w:hint="eastAsia" w:ascii="宋体" w:hAnsi="宋体" w:eastAsia="宋体" w:cs="宋体"/>
          <w:color w:val="333333"/>
          <w:kern w:val="0"/>
          <w:sz w:val="32"/>
          <w:szCs w:val="32"/>
          <w:bdr w:val="none" w:color="auto" w:sz="0" w:space="0"/>
          <w:lang w:val="en-US" w:eastAsia="zh-CN" w:bidi="ar"/>
        </w:rPr>
        <w:t>）办理出入库，查验出入库易制毒化学品品种和数量，履行出入库签收手续。应记录易制毒化学品出入库时间、品种、数量，以及入库时来源和出库时去向等要素。记录资料和出入库单据应整理为出入库台账</w:t>
      </w:r>
      <w:r>
        <w:rPr>
          <w:rFonts w:hint="default" w:ascii="Calibri" w:hAnsi="Calibri" w:eastAsia="宋体" w:cs="Calibri"/>
          <w:color w:val="333333"/>
          <w:kern w:val="0"/>
          <w:sz w:val="32"/>
          <w:szCs w:val="32"/>
          <w:bdr w:val="none" w:color="auto" w:sz="0" w:space="0"/>
          <w:lang w:val="en-US" w:eastAsia="zh-CN" w:bidi="ar"/>
        </w:rPr>
        <w:t>(</w:t>
      </w:r>
      <w:r>
        <w:rPr>
          <w:rFonts w:hint="eastAsia" w:ascii="宋体" w:hAnsi="宋体" w:eastAsia="宋体" w:cs="宋体"/>
          <w:color w:val="333333"/>
          <w:kern w:val="0"/>
          <w:sz w:val="32"/>
          <w:szCs w:val="32"/>
          <w:bdr w:val="none" w:color="auto" w:sz="0" w:space="0"/>
          <w:lang w:val="en-US" w:eastAsia="zh-CN" w:bidi="ar"/>
        </w:rPr>
        <w:t>参见附件</w:t>
      </w:r>
      <w:r>
        <w:rPr>
          <w:rFonts w:hint="default" w:ascii="Calibri" w:hAnsi="Calibri" w:eastAsia="宋体" w:cs="Calibri"/>
          <w:color w:val="333333"/>
          <w:kern w:val="0"/>
          <w:sz w:val="32"/>
          <w:szCs w:val="32"/>
          <w:bdr w:val="none" w:color="auto" w:sz="0" w:space="0"/>
          <w:lang w:val="en-US" w:eastAsia="zh-CN" w:bidi="ar"/>
        </w:rPr>
        <w:t>5</w:t>
      </w:r>
      <w:r>
        <w:rPr>
          <w:rFonts w:hint="eastAsia" w:ascii="宋体" w:hAnsi="宋体" w:eastAsia="宋体" w:cs="宋体"/>
          <w:color w:val="333333"/>
          <w:kern w:val="0"/>
          <w:sz w:val="32"/>
          <w:szCs w:val="32"/>
          <w:bdr w:val="none" w:color="auto" w:sz="0" w:space="0"/>
          <w:lang w:val="en-US" w:eastAsia="zh-CN" w:bidi="ar"/>
        </w:rPr>
        <w:t>、附件</w:t>
      </w:r>
      <w:r>
        <w:rPr>
          <w:rFonts w:hint="default" w:ascii="Calibri" w:hAnsi="Calibri" w:eastAsia="宋体" w:cs="Calibri"/>
          <w:color w:val="333333"/>
          <w:kern w:val="0"/>
          <w:sz w:val="32"/>
          <w:szCs w:val="32"/>
          <w:bdr w:val="none" w:color="auto" w:sz="0" w:space="0"/>
          <w:lang w:val="en-US" w:eastAsia="zh-CN" w:bidi="ar"/>
        </w:rPr>
        <w:t>6)</w:t>
      </w:r>
      <w:r>
        <w:rPr>
          <w:rFonts w:hint="eastAsia" w:ascii="宋体" w:hAnsi="宋体" w:eastAsia="宋体" w:cs="宋体"/>
          <w:color w:val="333333"/>
          <w:kern w:val="0"/>
          <w:sz w:val="32"/>
          <w:szCs w:val="32"/>
          <w:bdr w:val="none" w:color="auto" w:sz="0" w:space="0"/>
          <w:lang w:val="en-US" w:eastAsia="zh-CN" w:bidi="ar"/>
        </w:rPr>
        <w:t>及档案。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5.5  </w:t>
      </w:r>
      <w:r>
        <w:rPr>
          <w:rFonts w:hint="eastAsia" w:ascii="宋体" w:hAnsi="宋体" w:eastAsia="宋体" w:cs="宋体"/>
          <w:color w:val="333333"/>
          <w:kern w:val="0"/>
          <w:sz w:val="32"/>
          <w:szCs w:val="32"/>
          <w:bdr w:val="none" w:color="auto" w:sz="0" w:space="0"/>
          <w:lang w:val="en-US" w:eastAsia="zh-CN" w:bidi="ar"/>
        </w:rPr>
        <w:t>每月至少进行一次库存盘点，认真核对账面数与实物数并记录清查结果（参见附件</w:t>
      </w:r>
      <w:r>
        <w:rPr>
          <w:rFonts w:hint="default" w:ascii="Calibri" w:hAnsi="Calibri" w:eastAsia="宋体" w:cs="Calibri"/>
          <w:color w:val="333333"/>
          <w:kern w:val="0"/>
          <w:sz w:val="32"/>
          <w:szCs w:val="32"/>
          <w:bdr w:val="none" w:color="auto" w:sz="0" w:space="0"/>
          <w:lang w:val="en-US" w:eastAsia="zh-CN" w:bidi="ar"/>
        </w:rPr>
        <w:t>7</w:t>
      </w:r>
      <w:r>
        <w:rPr>
          <w:rFonts w:hint="eastAsia" w:ascii="宋体" w:hAnsi="宋体" w:eastAsia="宋体" w:cs="宋体"/>
          <w:color w:val="333333"/>
          <w:kern w:val="0"/>
          <w:sz w:val="32"/>
          <w:szCs w:val="32"/>
          <w:bdr w:val="none" w:color="auto" w:sz="0" w:space="0"/>
          <w:lang w:val="en-US" w:eastAsia="zh-CN" w:bidi="ar"/>
        </w:rPr>
        <w:t>）。发现易制毒化学品库存量与出入库数量不符时应及时查找原因，发现被盗、丢失应立即向有关行政主管部门报案。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5.6  </w:t>
      </w:r>
      <w:r>
        <w:rPr>
          <w:rFonts w:hint="eastAsia" w:ascii="宋体" w:hAnsi="宋体" w:eastAsia="宋体" w:cs="宋体"/>
          <w:color w:val="333333"/>
          <w:kern w:val="0"/>
          <w:sz w:val="32"/>
          <w:szCs w:val="32"/>
          <w:bdr w:val="none" w:color="auto" w:sz="0" w:space="0"/>
          <w:lang w:val="en-US" w:eastAsia="zh-CN" w:bidi="ar"/>
        </w:rPr>
        <w:t>企业应当保证易制毒化学品生产、储存设备设施的完整性。生产、储存设备设施要符合安全生产等有关要求。要定期检查设备设施使用状况，做好日常维护保养，必要时进行更新。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5.7  </w:t>
      </w:r>
      <w:r>
        <w:rPr>
          <w:rFonts w:hint="eastAsia" w:ascii="宋体" w:hAnsi="宋体" w:eastAsia="宋体" w:cs="宋体"/>
          <w:color w:val="333333"/>
          <w:kern w:val="0"/>
          <w:sz w:val="32"/>
          <w:szCs w:val="32"/>
          <w:bdr w:val="none" w:color="auto" w:sz="0" w:space="0"/>
          <w:lang w:val="en-US" w:eastAsia="zh-CN" w:bidi="ar"/>
        </w:rPr>
        <w:t>储存设施应符合国家标准要求和有关规定。企业的储存设施（包括租赁的）要保证符合易制毒化学品的安全储存要求。无封闭墙体的简易棚不得用做仓库，仓库应配置防盗报警等监控设施，并有专人值守。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6  </w:t>
      </w:r>
      <w:r>
        <w:rPr>
          <w:rFonts w:hint="eastAsia" w:ascii="宋体" w:hAnsi="宋体" w:eastAsia="宋体" w:cs="宋体"/>
          <w:color w:val="333333"/>
          <w:kern w:val="0"/>
          <w:sz w:val="32"/>
          <w:szCs w:val="32"/>
          <w:bdr w:val="none" w:color="auto" w:sz="0" w:space="0"/>
          <w:lang w:val="en-US" w:eastAsia="zh-CN" w:bidi="ar"/>
        </w:rPr>
        <w:t>销售管理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6.1  </w:t>
      </w:r>
      <w:r>
        <w:rPr>
          <w:rFonts w:hint="eastAsia" w:ascii="宋体" w:hAnsi="宋体" w:eastAsia="宋体" w:cs="宋体"/>
          <w:color w:val="333333"/>
          <w:kern w:val="0"/>
          <w:sz w:val="32"/>
          <w:szCs w:val="32"/>
          <w:bdr w:val="none" w:color="auto" w:sz="0" w:space="0"/>
          <w:lang w:val="en-US" w:eastAsia="zh-CN" w:bidi="ar"/>
        </w:rPr>
        <w:t>销售管理是企业易制毒化学品管理的重要环节，要严格按照许可或备案范围销售易制毒化学品。当需要销售许可或备案范围外的品种或者销售数量发生较大变化的，要办理许可证或备案证明变更手续；企业不再生产、经营易制毒化学品的，要及时办理证件注销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6.2  </w:t>
      </w:r>
      <w:r>
        <w:rPr>
          <w:rFonts w:hint="eastAsia" w:ascii="宋体" w:hAnsi="宋体" w:eastAsia="宋体" w:cs="宋体"/>
          <w:color w:val="333333"/>
          <w:kern w:val="0"/>
          <w:sz w:val="32"/>
          <w:szCs w:val="32"/>
          <w:bdr w:val="none" w:color="auto" w:sz="0" w:space="0"/>
          <w:lang w:val="en-US" w:eastAsia="zh-CN" w:bidi="ar"/>
        </w:rPr>
        <w:t>依法核验购买方资质。销售易制毒化学品时，应按规定查验购买方的购买许可、备案证和购买经办人身份证。对符合条件的购买方，如实记录销售的品种、数量、日期和购买方的详细地址、联系方式等情况（参见附件</w:t>
      </w:r>
      <w:r>
        <w:rPr>
          <w:rFonts w:hint="default" w:ascii="Calibri" w:hAnsi="Calibri" w:eastAsia="宋体" w:cs="Calibri"/>
          <w:color w:val="333333"/>
          <w:kern w:val="0"/>
          <w:sz w:val="32"/>
          <w:szCs w:val="32"/>
          <w:bdr w:val="none" w:color="auto" w:sz="0" w:space="0"/>
          <w:lang w:val="en-US" w:eastAsia="zh-CN" w:bidi="ar"/>
        </w:rPr>
        <w:t>8</w:t>
      </w:r>
      <w:r>
        <w:rPr>
          <w:rFonts w:hint="eastAsia" w:ascii="宋体" w:hAnsi="宋体" w:eastAsia="宋体" w:cs="宋体"/>
          <w:color w:val="333333"/>
          <w:kern w:val="0"/>
          <w:sz w:val="32"/>
          <w:szCs w:val="32"/>
          <w:bdr w:val="none" w:color="auto" w:sz="0" w:space="0"/>
          <w:lang w:val="en-US" w:eastAsia="zh-CN" w:bidi="ar"/>
        </w:rPr>
        <w:t>），留存上述资质证明和身份证的复印件。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6.3  </w:t>
      </w:r>
      <w:r>
        <w:rPr>
          <w:rFonts w:hint="eastAsia" w:ascii="宋体" w:hAnsi="宋体" w:eastAsia="宋体" w:cs="宋体"/>
          <w:color w:val="333333"/>
          <w:kern w:val="0"/>
          <w:sz w:val="32"/>
          <w:szCs w:val="32"/>
          <w:bdr w:val="none" w:color="auto" w:sz="0" w:space="0"/>
          <w:lang w:val="en-US" w:eastAsia="zh-CN" w:bidi="ar"/>
        </w:rPr>
        <w:t>规范销售资料的管理。应根据销售记录、留存的复印件、销售合同、发货单等销售资料，填写、建立销售台账（参见附件</w:t>
      </w:r>
      <w:r>
        <w:rPr>
          <w:rFonts w:hint="default" w:ascii="Calibri" w:hAnsi="Calibri" w:eastAsia="宋体" w:cs="Calibri"/>
          <w:color w:val="333333"/>
          <w:kern w:val="0"/>
          <w:sz w:val="32"/>
          <w:szCs w:val="32"/>
          <w:bdr w:val="none" w:color="auto" w:sz="0" w:space="0"/>
          <w:lang w:val="en-US" w:eastAsia="zh-CN" w:bidi="ar"/>
        </w:rPr>
        <w:t>9</w:t>
      </w:r>
      <w:r>
        <w:rPr>
          <w:rFonts w:hint="eastAsia" w:ascii="宋体" w:hAnsi="宋体" w:eastAsia="宋体" w:cs="宋体"/>
          <w:color w:val="333333"/>
          <w:kern w:val="0"/>
          <w:sz w:val="32"/>
          <w:szCs w:val="32"/>
          <w:bdr w:val="none" w:color="auto" w:sz="0" w:space="0"/>
          <w:lang w:val="en-US" w:eastAsia="zh-CN" w:bidi="ar"/>
        </w:rPr>
        <w:t>、附件</w:t>
      </w:r>
      <w:r>
        <w:rPr>
          <w:rFonts w:hint="default" w:ascii="Calibri" w:hAnsi="Calibri" w:eastAsia="宋体" w:cs="Calibri"/>
          <w:color w:val="333333"/>
          <w:kern w:val="0"/>
          <w:sz w:val="32"/>
          <w:szCs w:val="32"/>
          <w:bdr w:val="none" w:color="auto" w:sz="0" w:space="0"/>
          <w:lang w:val="en-US" w:eastAsia="zh-CN" w:bidi="ar"/>
        </w:rPr>
        <w:t>10</w:t>
      </w:r>
      <w:r>
        <w:rPr>
          <w:rFonts w:hint="eastAsia" w:ascii="宋体" w:hAnsi="宋体" w:eastAsia="宋体" w:cs="宋体"/>
          <w:color w:val="333333"/>
          <w:kern w:val="0"/>
          <w:sz w:val="32"/>
          <w:szCs w:val="32"/>
          <w:bdr w:val="none" w:color="auto" w:sz="0" w:space="0"/>
          <w:lang w:val="en-US" w:eastAsia="zh-CN" w:bidi="ar"/>
        </w:rPr>
        <w:t>）及档案。销售资料存放设施、计算机销售信息系统要安全可靠。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6.4  </w:t>
      </w:r>
      <w:r>
        <w:rPr>
          <w:rFonts w:hint="eastAsia" w:ascii="宋体" w:hAnsi="宋体" w:eastAsia="宋体" w:cs="宋体"/>
          <w:color w:val="333333"/>
          <w:kern w:val="0"/>
          <w:sz w:val="32"/>
          <w:szCs w:val="32"/>
          <w:bdr w:val="none" w:color="auto" w:sz="0" w:space="0"/>
          <w:lang w:val="en-US" w:eastAsia="zh-CN" w:bidi="ar"/>
        </w:rPr>
        <w:t>企业销售的易制毒化学品，其包装必须可靠，符合国家有关规定。包装必须标明易制毒化学品的规范名称、化学分子式、成分和含量；属于危险化学品的，必须附有按照国家标准编制的化学品安全技术说明书和安全标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7  </w:t>
      </w:r>
      <w:r>
        <w:rPr>
          <w:rFonts w:hint="eastAsia" w:ascii="宋体" w:hAnsi="宋体" w:eastAsia="宋体" w:cs="宋体"/>
          <w:color w:val="333333"/>
          <w:kern w:val="0"/>
          <w:sz w:val="32"/>
          <w:szCs w:val="32"/>
          <w:bdr w:val="none" w:color="auto" w:sz="0" w:space="0"/>
          <w:lang w:val="en-US" w:eastAsia="zh-CN" w:bidi="ar"/>
        </w:rPr>
        <w:t>培训教育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7.1 </w:t>
      </w:r>
      <w:r>
        <w:rPr>
          <w:rFonts w:hint="eastAsia" w:ascii="宋体" w:hAnsi="宋体" w:eastAsia="宋体" w:cs="宋体"/>
          <w:color w:val="333333"/>
          <w:kern w:val="0"/>
          <w:sz w:val="32"/>
          <w:szCs w:val="32"/>
          <w:bdr w:val="none" w:color="auto" w:sz="0" w:space="0"/>
          <w:lang w:val="en-US" w:eastAsia="zh-CN" w:bidi="ar"/>
        </w:rPr>
        <w:t>企业要建立易制毒化学品管理培训教育制度。依据不同岗位类型，制定培训教育目标和考核要求，制定包括学习内容、时间安排、参加人员范围等事项的年度培训教育计划。要建立从业人员培训教育档案，记录培训情况。企业每年应至少进行一次全员易制毒化学品管理方面的遵纪守法教育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7.2 </w:t>
      </w:r>
      <w:r>
        <w:rPr>
          <w:rFonts w:hint="eastAsia" w:ascii="宋体" w:hAnsi="宋体" w:eastAsia="宋体" w:cs="宋体"/>
          <w:color w:val="333333"/>
          <w:kern w:val="0"/>
          <w:sz w:val="32"/>
          <w:szCs w:val="32"/>
          <w:bdr w:val="none" w:color="auto" w:sz="0" w:space="0"/>
          <w:lang w:val="en-US" w:eastAsia="zh-CN" w:bidi="ar"/>
        </w:rPr>
        <w:t>易制毒化学品管理培训教育应以法律法规和有关行政主管部门规定、企业规章制度、岗位责任制及工作程序为内容，结合新形势要求，注重联系实际。要对培训教育效果进行评价并不断改进。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7.3 </w:t>
      </w:r>
      <w:r>
        <w:rPr>
          <w:rFonts w:hint="eastAsia" w:ascii="宋体" w:hAnsi="宋体" w:eastAsia="宋体" w:cs="宋体"/>
          <w:color w:val="333333"/>
          <w:kern w:val="0"/>
          <w:sz w:val="32"/>
          <w:szCs w:val="32"/>
          <w:bdr w:val="none" w:color="auto" w:sz="0" w:space="0"/>
          <w:lang w:val="en-US" w:eastAsia="zh-CN" w:bidi="ar"/>
        </w:rPr>
        <w:t>企业主要负责人、分管负责人要带头参加本企业易制毒化学品管理培训教育活动；生产、储存、销售部门负责人及管理、技术人员，每年至少要参加一次易制毒化学品管理培训教育，经考核合格后方可任职。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7.4 </w:t>
      </w:r>
      <w:r>
        <w:rPr>
          <w:rFonts w:hint="eastAsia" w:ascii="宋体" w:hAnsi="宋体" w:eastAsia="宋体" w:cs="宋体"/>
          <w:color w:val="333333"/>
          <w:kern w:val="0"/>
          <w:sz w:val="32"/>
          <w:szCs w:val="32"/>
          <w:bdr w:val="none" w:color="auto" w:sz="0" w:space="0"/>
          <w:lang w:val="en-US" w:eastAsia="zh-CN" w:bidi="ar"/>
        </w:rPr>
        <w:t>第一类易制毒化学品企业主要负责人和分管技术、生产、销售的负责人还应当参加专门的考核，取得安全生产监管部门颁发的易制毒化学品知识考核合格证明后方可任职。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8  </w:t>
      </w:r>
      <w:r>
        <w:rPr>
          <w:rFonts w:hint="eastAsia" w:ascii="宋体" w:hAnsi="宋体" w:eastAsia="宋体" w:cs="宋体"/>
          <w:color w:val="333333"/>
          <w:kern w:val="0"/>
          <w:sz w:val="32"/>
          <w:szCs w:val="32"/>
          <w:bdr w:val="none" w:color="auto" w:sz="0" w:space="0"/>
          <w:lang w:val="en-US" w:eastAsia="zh-CN" w:bidi="ar"/>
        </w:rPr>
        <w:t>信息填报和违法违规行为举报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8.1  </w:t>
      </w:r>
      <w:r>
        <w:rPr>
          <w:rFonts w:hint="eastAsia" w:ascii="宋体" w:hAnsi="宋体" w:eastAsia="宋体" w:cs="宋体"/>
          <w:color w:val="333333"/>
          <w:kern w:val="0"/>
          <w:sz w:val="32"/>
          <w:szCs w:val="32"/>
          <w:bdr w:val="none" w:color="auto" w:sz="0" w:space="0"/>
          <w:lang w:val="en-US" w:eastAsia="zh-CN" w:bidi="ar"/>
        </w:rPr>
        <w:t>企业应当在每年</w:t>
      </w:r>
      <w:r>
        <w:rPr>
          <w:rFonts w:hint="default" w:ascii="Calibri" w:hAnsi="Calibri" w:eastAsia="宋体" w:cs="Calibri"/>
          <w:color w:val="333333"/>
          <w:kern w:val="0"/>
          <w:sz w:val="32"/>
          <w:szCs w:val="32"/>
          <w:bdr w:val="none" w:color="auto" w:sz="0" w:space="0"/>
          <w:lang w:val="en-US" w:eastAsia="zh-CN" w:bidi="ar"/>
        </w:rPr>
        <w:t>3</w:t>
      </w:r>
      <w:r>
        <w:rPr>
          <w:rFonts w:hint="eastAsia" w:ascii="宋体" w:hAnsi="宋体" w:eastAsia="宋体" w:cs="宋体"/>
          <w:color w:val="333333"/>
          <w:kern w:val="0"/>
          <w:sz w:val="32"/>
          <w:szCs w:val="32"/>
          <w:bdr w:val="none" w:color="auto" w:sz="0" w:space="0"/>
          <w:lang w:val="en-US" w:eastAsia="zh-CN" w:bidi="ar"/>
        </w:rPr>
        <w:t>月</w:t>
      </w:r>
      <w:r>
        <w:rPr>
          <w:rFonts w:hint="default" w:ascii="Calibri" w:hAnsi="Calibri" w:eastAsia="宋体" w:cs="Calibri"/>
          <w:color w:val="333333"/>
          <w:kern w:val="0"/>
          <w:sz w:val="32"/>
          <w:szCs w:val="32"/>
          <w:bdr w:val="none" w:color="auto" w:sz="0" w:space="0"/>
          <w:lang w:val="en-US" w:eastAsia="zh-CN" w:bidi="ar"/>
        </w:rPr>
        <w:t>31</w:t>
      </w:r>
      <w:r>
        <w:rPr>
          <w:rFonts w:hint="eastAsia" w:ascii="宋体" w:hAnsi="宋体" w:eastAsia="宋体" w:cs="宋体"/>
          <w:color w:val="333333"/>
          <w:kern w:val="0"/>
          <w:sz w:val="32"/>
          <w:szCs w:val="32"/>
          <w:bdr w:val="none" w:color="auto" w:sz="0" w:space="0"/>
          <w:lang w:val="en-US" w:eastAsia="zh-CN" w:bidi="ar"/>
        </w:rPr>
        <w:t>日前，以纸质和登录安全监管部门易制毒化学品管理信息系统填报两种方式，提交包括本企业上年度易制毒化学品生产经营品种、数量和主要流向等情况的年报。应当按照有关行政主管部门的要求，上报本企业易制毒化学品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8.2  </w:t>
      </w:r>
      <w:r>
        <w:rPr>
          <w:rFonts w:hint="eastAsia" w:ascii="宋体" w:hAnsi="宋体" w:eastAsia="宋体" w:cs="宋体"/>
          <w:color w:val="333333"/>
          <w:kern w:val="0"/>
          <w:sz w:val="32"/>
          <w:szCs w:val="32"/>
          <w:bdr w:val="none" w:color="auto" w:sz="0" w:space="0"/>
          <w:lang w:val="en-US" w:eastAsia="zh-CN" w:bidi="ar"/>
        </w:rPr>
        <w:t>企业上报易制毒化学品管理情况和年报要做到及时、准确，上报材料和年报须有企业签章或主要负责人的签名等确认手续。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8.3  </w:t>
      </w:r>
      <w:r>
        <w:rPr>
          <w:rFonts w:hint="eastAsia" w:ascii="宋体" w:hAnsi="宋体" w:eastAsia="宋体" w:cs="宋体"/>
          <w:color w:val="333333"/>
          <w:kern w:val="0"/>
          <w:sz w:val="32"/>
          <w:szCs w:val="32"/>
          <w:bdr w:val="none" w:color="auto" w:sz="0" w:space="0"/>
          <w:lang w:val="en-US" w:eastAsia="zh-CN" w:bidi="ar"/>
        </w:rPr>
        <w:t>企业要建立易制毒化学品违法违规举报奖励制度。举报情况属实的，企业应对举报人进行奖励；属于严重违法的，报有关行政主管部门处理。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9  </w:t>
      </w:r>
      <w:r>
        <w:rPr>
          <w:rFonts w:hint="eastAsia" w:ascii="宋体" w:hAnsi="宋体" w:eastAsia="宋体" w:cs="宋体"/>
          <w:color w:val="333333"/>
          <w:kern w:val="0"/>
          <w:sz w:val="32"/>
          <w:szCs w:val="32"/>
          <w:bdr w:val="none" w:color="auto" w:sz="0" w:space="0"/>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9.1  </w:t>
      </w:r>
      <w:r>
        <w:rPr>
          <w:rFonts w:hint="eastAsia" w:ascii="宋体" w:hAnsi="宋体" w:eastAsia="宋体" w:cs="宋体"/>
          <w:color w:val="333333"/>
          <w:kern w:val="0"/>
          <w:sz w:val="32"/>
          <w:szCs w:val="32"/>
          <w:bdr w:val="none" w:color="auto" w:sz="0" w:space="0"/>
          <w:lang w:val="en-US" w:eastAsia="zh-CN" w:bidi="ar"/>
        </w:rPr>
        <w:t>企业易制毒化学品生产、经营的各项台账及档案、资料，至少应保存</w:t>
      </w:r>
      <w:r>
        <w:rPr>
          <w:rFonts w:hint="default" w:ascii="Calibri" w:hAnsi="Calibri" w:eastAsia="宋体" w:cs="Calibri"/>
          <w:color w:val="333333"/>
          <w:kern w:val="0"/>
          <w:sz w:val="32"/>
          <w:szCs w:val="32"/>
          <w:bdr w:val="none" w:color="auto" w:sz="0" w:space="0"/>
          <w:lang w:val="en-US" w:eastAsia="zh-CN" w:bidi="ar"/>
        </w:rPr>
        <w:t>3</w:t>
      </w:r>
      <w:r>
        <w:rPr>
          <w:rFonts w:hint="eastAsia" w:ascii="宋体" w:hAnsi="宋体" w:eastAsia="宋体" w:cs="宋体"/>
          <w:color w:val="333333"/>
          <w:kern w:val="0"/>
          <w:sz w:val="32"/>
          <w:szCs w:val="32"/>
          <w:bdr w:val="none" w:color="auto" w:sz="0" w:space="0"/>
          <w:lang w:val="en-US" w:eastAsia="zh-CN" w:bidi="ar"/>
        </w:rPr>
        <w:t>年备查。要逐步建立各项台账及档案、资料的电子文档，实现信息化、动态化管理。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9.2  </w:t>
      </w:r>
      <w:r>
        <w:rPr>
          <w:rFonts w:hint="eastAsia" w:ascii="宋体" w:hAnsi="宋体" w:eastAsia="宋体" w:cs="宋体"/>
          <w:color w:val="333333"/>
          <w:kern w:val="0"/>
          <w:sz w:val="32"/>
          <w:szCs w:val="32"/>
          <w:bdr w:val="none" w:color="auto" w:sz="0" w:space="0"/>
          <w:lang w:val="en-US" w:eastAsia="zh-CN" w:bidi="ar"/>
        </w:rPr>
        <w:t>本指南附件</w:t>
      </w:r>
      <w:r>
        <w:rPr>
          <w:rFonts w:hint="default" w:ascii="Calibri" w:hAnsi="Calibri" w:eastAsia="宋体" w:cs="Calibri"/>
          <w:color w:val="333333"/>
          <w:kern w:val="0"/>
          <w:sz w:val="32"/>
          <w:szCs w:val="32"/>
          <w:bdr w:val="none" w:color="auto" w:sz="0" w:space="0"/>
          <w:lang w:val="en-US" w:eastAsia="zh-CN" w:bidi="ar"/>
        </w:rPr>
        <w:t>1</w:t>
      </w:r>
      <w:r>
        <w:rPr>
          <w:rFonts w:hint="eastAsia" w:ascii="宋体" w:hAnsi="宋体" w:eastAsia="宋体" w:cs="宋体"/>
          <w:color w:val="333333"/>
          <w:kern w:val="0"/>
          <w:sz w:val="32"/>
          <w:szCs w:val="32"/>
          <w:bdr w:val="none" w:color="auto" w:sz="0" w:space="0"/>
          <w:lang w:val="en-US" w:eastAsia="zh-CN" w:bidi="ar"/>
        </w:rPr>
        <w:t>至附件</w:t>
      </w:r>
      <w:r>
        <w:rPr>
          <w:rFonts w:hint="default" w:ascii="Calibri" w:hAnsi="Calibri" w:eastAsia="宋体" w:cs="Calibri"/>
          <w:color w:val="333333"/>
          <w:kern w:val="0"/>
          <w:sz w:val="32"/>
          <w:szCs w:val="32"/>
          <w:bdr w:val="none" w:color="auto" w:sz="0" w:space="0"/>
          <w:lang w:val="en-US" w:eastAsia="zh-CN" w:bidi="ar"/>
        </w:rPr>
        <w:t>10</w:t>
      </w:r>
      <w:r>
        <w:rPr>
          <w:rFonts w:hint="eastAsia" w:ascii="宋体" w:hAnsi="宋体" w:eastAsia="宋体" w:cs="宋体"/>
          <w:color w:val="333333"/>
          <w:kern w:val="0"/>
          <w:sz w:val="32"/>
          <w:szCs w:val="32"/>
          <w:bdr w:val="none" w:color="auto" w:sz="0" w:space="0"/>
          <w:lang w:val="en-US" w:eastAsia="zh-CN" w:bidi="ar"/>
        </w:rPr>
        <w:t>，包含易制毒化学品从生产、储存到销售环节的流向管理基本要素，其表格式样供建立本企业易制毒化学品相应记录台账参考。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"https://www.mem.gov.cn/gk/gwgg/agwzlfl/gfxwj/2014/201406/W020171031379052691609.doc"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1. </w:t>
      </w:r>
      <w:r>
        <w:rPr>
          <w:rStyle w:val="5"/>
          <w:rFonts w:hint="eastAsia" w:ascii="宋体" w:hAnsi="宋体" w:eastAsia="宋体" w:cs="宋体"/>
          <w:color w:val="000000"/>
          <w:sz w:val="32"/>
          <w:szCs w:val="32"/>
          <w:u w:val="none"/>
          <w:bdr w:val="none" w:color="auto" w:sz="0" w:space="0"/>
          <w:lang w:val="en-US"/>
        </w:rPr>
        <w:t>非药品类易制毒化学品产成品记录台账式样</w:t>
      </w:r>
      <w:r>
        <w:rPr>
          <w:rFonts w:hint="default" w:ascii="Calibri" w:hAnsi="Calibri" w:eastAsia="宋体" w:cs="Calibri"/>
          <w:color w:val="000000"/>
          <w:kern w:val="0"/>
          <w:sz w:val="32"/>
          <w:szCs w:val="32"/>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"https://www.mem.gov.cn/gk/gwgg/agwzlfl/gfxwj/2014/201406/W020171031379052767512.doc"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 2. </w:t>
      </w:r>
      <w:r>
        <w:rPr>
          <w:rStyle w:val="5"/>
          <w:rFonts w:hint="eastAsia" w:ascii="宋体" w:hAnsi="宋体" w:eastAsia="宋体" w:cs="宋体"/>
          <w:color w:val="000000"/>
          <w:sz w:val="32"/>
          <w:szCs w:val="32"/>
          <w:u w:val="none"/>
          <w:bdr w:val="none" w:color="auto" w:sz="0" w:space="0"/>
          <w:lang w:val="en-US"/>
        </w:rPr>
        <w:t>非药品类易制毒化学品储存禁配参考表</w:t>
      </w:r>
      <w:r>
        <w:rPr>
          <w:rFonts w:hint="default" w:ascii="Calibri" w:hAnsi="Calibri" w:eastAsia="宋体" w:cs="Calibri"/>
          <w:color w:val="000000"/>
          <w:kern w:val="0"/>
          <w:sz w:val="32"/>
          <w:szCs w:val="32"/>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"https://www.mem.gov.cn/gk/gwgg/agwzlfl/gfxwj/2014/201406/W020171031379052821642.doc"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3. </w:t>
      </w:r>
      <w:r>
        <w:rPr>
          <w:rStyle w:val="5"/>
          <w:rFonts w:hint="eastAsia" w:ascii="宋体" w:hAnsi="宋体" w:eastAsia="宋体" w:cs="宋体"/>
          <w:color w:val="000000"/>
          <w:sz w:val="32"/>
          <w:szCs w:val="32"/>
          <w:u w:val="none"/>
          <w:bdr w:val="none" w:color="auto" w:sz="0" w:space="0"/>
          <w:lang w:val="en-US"/>
        </w:rPr>
        <w:t>非药品类易制毒化学品出库单式样</w:t>
      </w:r>
      <w:r>
        <w:rPr>
          <w:rFonts w:hint="default" w:ascii="Calibri" w:hAnsi="Calibri" w:eastAsia="宋体" w:cs="Calibri"/>
          <w:color w:val="000000"/>
          <w:kern w:val="0"/>
          <w:sz w:val="32"/>
          <w:szCs w:val="32"/>
          <w:u w:val="none"/>
          <w:bdr w:val="none" w:color="auto" w:sz="0" w:space="0"/>
          <w:lang w:val="en-US" w:eastAsia="zh-CN" w:bidi="ar"/>
        </w:rPr>
        <w:fldChar w:fldCharType="end"/>
      </w:r>
      <w:r>
        <w:rPr>
          <w:rFonts w:hint="default" w:ascii="Calibri" w:hAnsi="Calibri" w:eastAsia="宋体" w:cs="Calibri"/>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"https://www.mem.gov.cn/gk/gwgg/agwzlfl/gfxwj/2014/201406/W020171031379052897196.doc"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 4. </w:t>
      </w:r>
      <w:r>
        <w:rPr>
          <w:rStyle w:val="5"/>
          <w:rFonts w:hint="eastAsia" w:ascii="宋体" w:hAnsi="宋体" w:eastAsia="宋体" w:cs="宋体"/>
          <w:color w:val="000000"/>
          <w:sz w:val="32"/>
          <w:szCs w:val="32"/>
          <w:u w:val="none"/>
          <w:bdr w:val="none" w:color="auto" w:sz="0" w:space="0"/>
          <w:lang w:val="en-US"/>
        </w:rPr>
        <w:t>非药品类易制毒化学品入库单式样</w:t>
      </w:r>
      <w:r>
        <w:rPr>
          <w:rStyle w:val="5"/>
          <w:rFonts w:hint="default" w:ascii="Calibri" w:hAnsi="Calibri" w:eastAsia="宋体" w:cs="Calibri"/>
          <w:color w:val="000000"/>
          <w:sz w:val="32"/>
          <w:szCs w:val="32"/>
          <w:u w:val="none"/>
          <w:bdr w:val="none" w:color="auto" w:sz="0" w:space="0"/>
          <w:lang w:val="en-US"/>
        </w:rPr>
        <w:t> </w:t>
      </w:r>
      <w:r>
        <w:rPr>
          <w:rFonts w:hint="default" w:ascii="Calibri" w:hAnsi="Calibri" w:eastAsia="宋体" w:cs="Calibri"/>
          <w:color w:val="000000"/>
          <w:kern w:val="0"/>
          <w:sz w:val="32"/>
          <w:szCs w:val="32"/>
          <w:u w:val="none"/>
          <w:bdr w:val="none" w:color="auto" w:sz="0" w:space="0"/>
          <w:lang w:val="en-US" w:eastAsia="zh-CN" w:bidi="ar"/>
        </w:rPr>
        <w:fldChar w:fldCharType="end"/>
      </w:r>
      <w:r>
        <w:rPr>
          <w:rFonts w:hint="default" w:ascii="Calibri" w:hAnsi="Calibri" w:eastAsia="宋体" w:cs="Calibri"/>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"https://www.mem.gov.cn/gk/gwgg/agwzlfl/gfxwj/2014/201406/W020171031379052956860.doc"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5. </w:t>
      </w:r>
      <w:r>
        <w:rPr>
          <w:rStyle w:val="5"/>
          <w:rFonts w:hint="eastAsia" w:ascii="宋体" w:hAnsi="宋体" w:eastAsia="宋体" w:cs="宋体"/>
          <w:color w:val="000000"/>
          <w:sz w:val="32"/>
          <w:szCs w:val="32"/>
          <w:u w:val="none"/>
          <w:bdr w:val="none" w:color="auto" w:sz="0" w:space="0"/>
          <w:lang w:val="en-US"/>
        </w:rPr>
        <w:t>非药品类易制毒化学品出库台账式样</w:t>
      </w:r>
      <w:r>
        <w:rPr>
          <w:rStyle w:val="5"/>
          <w:rFonts w:hint="default" w:ascii="Calibri" w:hAnsi="Calibri" w:eastAsia="宋体" w:cs="Calibri"/>
          <w:color w:val="000000"/>
          <w:sz w:val="32"/>
          <w:szCs w:val="32"/>
          <w:u w:val="none"/>
          <w:bdr w:val="none" w:color="auto" w:sz="0" w:space="0"/>
          <w:lang w:val="en-US"/>
        </w:rPr>
        <w:t> </w:t>
      </w:r>
      <w:r>
        <w:rPr>
          <w:rFonts w:hint="default" w:ascii="Calibri" w:hAnsi="Calibri" w:eastAsia="宋体" w:cs="Calibri"/>
          <w:color w:val="000000"/>
          <w:kern w:val="0"/>
          <w:sz w:val="32"/>
          <w:szCs w:val="32"/>
          <w:u w:val="none"/>
          <w:bdr w:val="none" w:color="auto" w:sz="0" w:space="0"/>
          <w:lang w:val="en-US" w:eastAsia="zh-CN" w:bidi="ar"/>
        </w:rPr>
        <w:fldChar w:fldCharType="end"/>
      </w:r>
      <w:r>
        <w:rPr>
          <w:rFonts w:hint="default" w:ascii="Calibri" w:hAnsi="Calibri" w:eastAsia="宋体" w:cs="Calibri"/>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"https://www.mem.gov.cn/gk/gwgg/agwzlfl/gfxwj/2014/201406/W020171031379053017854.doc"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 6. </w:t>
      </w:r>
      <w:r>
        <w:rPr>
          <w:rStyle w:val="5"/>
          <w:rFonts w:hint="eastAsia" w:ascii="宋体" w:hAnsi="宋体" w:eastAsia="宋体" w:cs="宋体"/>
          <w:color w:val="000000"/>
          <w:sz w:val="32"/>
          <w:szCs w:val="32"/>
          <w:u w:val="none"/>
          <w:bdr w:val="none" w:color="auto" w:sz="0" w:space="0"/>
          <w:lang w:val="en-US"/>
        </w:rPr>
        <w:t>非药品类易制毒化学品入库台账式样</w:t>
      </w:r>
      <w:r>
        <w:rPr>
          <w:rStyle w:val="5"/>
          <w:rFonts w:hint="default" w:ascii="Calibri" w:hAnsi="Calibri" w:eastAsia="宋体" w:cs="Calibri"/>
          <w:color w:val="000000"/>
          <w:sz w:val="32"/>
          <w:szCs w:val="32"/>
          <w:u w:val="none"/>
          <w:bdr w:val="none" w:color="auto" w:sz="0" w:space="0"/>
          <w:lang w:val="en-US"/>
        </w:rPr>
        <w:t> </w:t>
      </w:r>
      <w:r>
        <w:rPr>
          <w:rFonts w:hint="default" w:ascii="Calibri" w:hAnsi="Calibri" w:eastAsia="宋体" w:cs="Calibri"/>
          <w:color w:val="000000"/>
          <w:kern w:val="0"/>
          <w:sz w:val="32"/>
          <w:szCs w:val="32"/>
          <w:u w:val="none"/>
          <w:bdr w:val="none" w:color="auto" w:sz="0" w:space="0"/>
          <w:lang w:val="en-US" w:eastAsia="zh-CN" w:bidi="ar"/>
        </w:rPr>
        <w:fldChar w:fldCharType="end"/>
      </w:r>
      <w:r>
        <w:rPr>
          <w:rFonts w:hint="default" w:ascii="Calibri" w:hAnsi="Calibri" w:eastAsia="宋体" w:cs="Calibri"/>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"https://www.mem.gov.cn/gk/gwgg/agwzlfl/gfxwj/2014/201406/W020171031379053087476.doc"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7. </w:t>
      </w:r>
      <w:r>
        <w:rPr>
          <w:rStyle w:val="5"/>
          <w:rFonts w:hint="eastAsia" w:ascii="宋体" w:hAnsi="宋体" w:eastAsia="宋体" w:cs="宋体"/>
          <w:color w:val="000000"/>
          <w:sz w:val="32"/>
          <w:szCs w:val="32"/>
          <w:u w:val="none"/>
          <w:bdr w:val="none" w:color="auto" w:sz="0" w:space="0"/>
          <w:lang w:val="en-US"/>
        </w:rPr>
        <w:t>非药品类易制毒化学品库存盘点台账式样</w:t>
      </w:r>
      <w:r>
        <w:rPr>
          <w:rStyle w:val="5"/>
          <w:rFonts w:hint="default" w:ascii="Calibri" w:hAnsi="Calibri" w:eastAsia="宋体" w:cs="Calibri"/>
          <w:color w:val="000000"/>
          <w:sz w:val="32"/>
          <w:szCs w:val="32"/>
          <w:u w:val="none"/>
          <w:bdr w:val="none" w:color="auto" w:sz="0" w:space="0"/>
          <w:lang w:val="en-US"/>
        </w:rPr>
        <w:t> </w:t>
      </w:r>
      <w:r>
        <w:rPr>
          <w:rFonts w:hint="default" w:ascii="Calibri" w:hAnsi="Calibri" w:eastAsia="宋体" w:cs="Calibri"/>
          <w:color w:val="000000"/>
          <w:kern w:val="0"/>
          <w:sz w:val="32"/>
          <w:szCs w:val="32"/>
          <w:u w:val="none"/>
          <w:bdr w:val="none" w:color="auto" w:sz="0" w:space="0"/>
          <w:lang w:val="en-US" w:eastAsia="zh-CN" w:bidi="ar"/>
        </w:rPr>
        <w:fldChar w:fldCharType="end"/>
      </w:r>
      <w:r>
        <w:rPr>
          <w:rFonts w:hint="default" w:ascii="Calibri" w:hAnsi="Calibri" w:eastAsia="宋体" w:cs="Calibri"/>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"https://www.mem.gov.cn/gk/gwgg/agwzlfl/gfxwj/2014/201406/W020171031379053156755.doc"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8. </w:t>
      </w:r>
      <w:r>
        <w:rPr>
          <w:rStyle w:val="5"/>
          <w:rFonts w:hint="eastAsia" w:ascii="宋体" w:hAnsi="宋体" w:eastAsia="宋体" w:cs="宋体"/>
          <w:color w:val="000000"/>
          <w:sz w:val="32"/>
          <w:szCs w:val="32"/>
          <w:u w:val="none"/>
          <w:bdr w:val="none" w:color="auto" w:sz="0" w:space="0"/>
          <w:lang w:val="en-US"/>
        </w:rPr>
        <w:t>非药品类易制毒化学品流向登记单式样</w:t>
      </w:r>
      <w:r>
        <w:rPr>
          <w:rStyle w:val="5"/>
          <w:rFonts w:hint="default" w:ascii="Calibri" w:hAnsi="Calibri" w:eastAsia="宋体" w:cs="Calibri"/>
          <w:color w:val="000000"/>
          <w:sz w:val="32"/>
          <w:szCs w:val="32"/>
          <w:u w:val="none"/>
          <w:bdr w:val="none" w:color="auto" w:sz="0" w:space="0"/>
          <w:lang w:val="en-US"/>
        </w:rPr>
        <w:t> </w:t>
      </w:r>
      <w:r>
        <w:rPr>
          <w:rFonts w:hint="default" w:ascii="Calibri" w:hAnsi="Calibri" w:eastAsia="宋体" w:cs="Calibri"/>
          <w:color w:val="000000"/>
          <w:kern w:val="0"/>
          <w:sz w:val="32"/>
          <w:szCs w:val="32"/>
          <w:u w:val="none"/>
          <w:bdr w:val="none" w:color="auto" w:sz="0" w:space="0"/>
          <w:lang w:val="en-US" w:eastAsia="zh-CN" w:bidi="ar"/>
        </w:rPr>
        <w:fldChar w:fldCharType="end"/>
      </w:r>
      <w:r>
        <w:rPr>
          <w:rFonts w:hint="default" w:ascii="Calibri" w:hAnsi="Calibri" w:eastAsia="宋体" w:cs="Calibri"/>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default" w:ascii="Calibri" w:hAnsi="Calibri" w:eastAsia="宋体" w:cs="Calibri"/>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"https://www.mem.gov.cn/gk/gwgg/agwzlfl/gfxwj/2014/201406/W020171031379053218623.doc"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 </w:t>
      </w:r>
      <w:r>
        <w:rPr>
          <w:rFonts w:hint="default" w:ascii="Calibri" w:hAnsi="Calibri" w:eastAsia="宋体" w:cs="Calibri"/>
          <w:color w:val="000000"/>
          <w:kern w:val="0"/>
          <w:sz w:val="32"/>
          <w:szCs w:val="32"/>
          <w:u w:val="none"/>
          <w:bdr w:val="none" w:color="auto" w:sz="0" w:space="0"/>
          <w:lang w:val="en-US" w:eastAsia="zh-CN" w:bidi="ar"/>
        </w:rPr>
        <w:fldChar w:fldCharType="end"/>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"https://www.mem.gov.cn/gk/gwgg/agwzlfl/gfxwj/2014/201406/W020171031379053276051.doc"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9. </w:t>
      </w:r>
      <w:r>
        <w:rPr>
          <w:rStyle w:val="5"/>
          <w:rFonts w:hint="eastAsia" w:ascii="宋体" w:hAnsi="宋体" w:eastAsia="宋体" w:cs="宋体"/>
          <w:color w:val="000000"/>
          <w:sz w:val="32"/>
          <w:szCs w:val="32"/>
          <w:u w:val="none"/>
          <w:bdr w:val="none" w:color="auto" w:sz="0" w:space="0"/>
          <w:lang w:val="en-US"/>
        </w:rPr>
        <w:t>非药品类易制毒化学品销售台账式样</w:t>
      </w:r>
      <w:r>
        <w:rPr>
          <w:rStyle w:val="5"/>
          <w:rFonts w:hint="default" w:ascii="Calibri" w:hAnsi="Calibri" w:eastAsia="宋体" w:cs="Calibri"/>
          <w:color w:val="000000"/>
          <w:sz w:val="32"/>
          <w:szCs w:val="32"/>
          <w:u w:val="none"/>
          <w:bdr w:val="none" w:color="auto" w:sz="0" w:space="0"/>
          <w:lang w:val="en-US"/>
        </w:rPr>
        <w:t> </w:t>
      </w:r>
      <w:r>
        <w:rPr>
          <w:rFonts w:hint="default" w:ascii="Calibri" w:hAnsi="Calibri" w:eastAsia="宋体" w:cs="Calibri"/>
          <w:color w:val="000000"/>
          <w:kern w:val="0"/>
          <w:sz w:val="32"/>
          <w:szCs w:val="32"/>
          <w:u w:val="none"/>
          <w:bdr w:val="none" w:color="auto" w:sz="0" w:space="0"/>
          <w:lang w:val="en-US" w:eastAsia="zh-CN" w:bidi="ar"/>
        </w:rPr>
        <w:fldChar w:fldCharType="end"/>
      </w:r>
      <w:r>
        <w:rPr>
          <w:rFonts w:hint="default" w:ascii="Calibri" w:hAnsi="Calibri" w:eastAsia="宋体" w:cs="Calibri"/>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600" w:lineRule="atLeast"/>
        <w:ind w:left="0" w:right="0" w:firstLine="420"/>
        <w:jc w:val="left"/>
        <w:rPr>
          <w:rFonts w:ascii="宋体" w:hAnsi="宋体" w:eastAsia="宋体" w:cs="宋体"/>
          <w:color w:val="333333"/>
          <w:sz w:val="32"/>
          <w:szCs w:val="32"/>
        </w:rPr>
      </w:pPr>
      <w:r>
        <w:rPr>
          <w:rFonts w:hint="eastAsia" w:ascii="宋体" w:hAnsi="宋体" w:eastAsia="宋体" w:cs="宋体"/>
          <w:color w:val="333333"/>
          <w:kern w:val="0"/>
          <w:sz w:val="32"/>
          <w:szCs w:val="32"/>
          <w:bdr w:val="none" w:color="auto" w:sz="0" w:space="0"/>
          <w:lang w:val="en-US" w:eastAsia="zh-CN" w:bidi="ar"/>
        </w:rPr>
        <w:t>   </w:t>
      </w:r>
      <w:r>
        <w:rPr>
          <w:rFonts w:hint="default" w:ascii="Calibri" w:hAnsi="Calibri" w:eastAsia="宋体" w:cs="Calibri"/>
          <w:color w:val="000000"/>
          <w:kern w:val="0"/>
          <w:sz w:val="32"/>
          <w:szCs w:val="32"/>
          <w:u w:val="none"/>
          <w:bdr w:val="none" w:color="auto" w:sz="0" w:space="0"/>
          <w:lang w:val="en-US" w:eastAsia="zh-CN" w:bidi="ar"/>
        </w:rPr>
        <w:fldChar w:fldCharType="begin"/>
      </w:r>
      <w:r>
        <w:rPr>
          <w:rFonts w:hint="default" w:ascii="Calibri" w:hAnsi="Calibri" w:eastAsia="宋体" w:cs="Calibri"/>
          <w:color w:val="000000"/>
          <w:kern w:val="0"/>
          <w:sz w:val="32"/>
          <w:szCs w:val="32"/>
          <w:u w:val="none"/>
          <w:bdr w:val="none" w:color="auto" w:sz="0" w:space="0"/>
          <w:lang w:val="en-US" w:eastAsia="zh-CN" w:bidi="ar"/>
        </w:rPr>
        <w:instrText xml:space="preserve"> HYPERLINK "https://www.mem.gov.cn/gk/gwgg/agwzlfl/gfxwj/2014/201406/W020171031379053333641.doc" \t "https://www.mem.gov.cn/gk/gwgg/agwzlfl/gfxwj/2014/201406/_blank" </w:instrText>
      </w:r>
      <w:r>
        <w:rPr>
          <w:rFonts w:hint="default" w:ascii="Calibri" w:hAnsi="Calibri" w:eastAsia="宋体" w:cs="Calibri"/>
          <w:color w:val="000000"/>
          <w:kern w:val="0"/>
          <w:sz w:val="32"/>
          <w:szCs w:val="32"/>
          <w:u w:val="none"/>
          <w:bdr w:val="none" w:color="auto" w:sz="0" w:space="0"/>
          <w:lang w:val="en-US" w:eastAsia="zh-CN" w:bidi="ar"/>
        </w:rPr>
        <w:fldChar w:fldCharType="separate"/>
      </w:r>
      <w:r>
        <w:rPr>
          <w:rStyle w:val="5"/>
          <w:rFonts w:hint="default" w:ascii="Calibri" w:hAnsi="Calibri" w:eastAsia="宋体" w:cs="Calibri"/>
          <w:color w:val="000000"/>
          <w:sz w:val="32"/>
          <w:szCs w:val="32"/>
          <w:u w:val="none"/>
          <w:bdr w:val="none" w:color="auto" w:sz="0" w:space="0"/>
          <w:lang w:val="en-US"/>
        </w:rPr>
        <w:t>10.</w:t>
      </w:r>
      <w:r>
        <w:rPr>
          <w:rStyle w:val="5"/>
          <w:rFonts w:hint="eastAsia" w:ascii="宋体" w:hAnsi="宋体" w:eastAsia="宋体" w:cs="宋体"/>
          <w:color w:val="000000"/>
          <w:sz w:val="32"/>
          <w:szCs w:val="32"/>
          <w:u w:val="none"/>
          <w:bdr w:val="none" w:color="auto" w:sz="0" w:space="0"/>
          <w:lang w:val="en-US"/>
        </w:rPr>
        <w:t>非药品类易制毒化学品销售流向定期统计台账式样</w:t>
      </w:r>
      <w:r>
        <w:rPr>
          <w:rFonts w:hint="default" w:ascii="Calibri" w:hAnsi="Calibri" w:eastAsia="宋体" w:cs="Calibri"/>
          <w:color w:val="000000"/>
          <w:kern w:val="0"/>
          <w:sz w:val="32"/>
          <w:szCs w:val="32"/>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0D2E61B1"/>
    <w:rsid w:val="0D2E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2023-09-21T02:29:00Z</dcterms:created>
  <dc:creator>little fairy</dc:creator>
  <cp:lastModifiedBy>little fairy</cp:lastModifiedBy>
  <dcterms:modified xsi:type="dcterms:W3CDTF">2023-09-21T02:29:56Z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993B94C766244F0B9EB41A731C70C217_11</vt:lpwstr>
  </property>
</Properties>
</file>