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560" w:lineRule="atLeast"/>
        <w:ind w:left="0" w:right="0"/>
        <w:jc w:val="center"/>
        <w:rPr>
          <w:rFonts w:ascii="宋体" w:hAnsi="宋体" w:eastAsia="宋体" w:cs="宋体"/>
          <w:color w:val="333333"/>
          <w:sz w:val="20"/>
          <w:szCs w:val="20"/>
        </w:rPr>
      </w:pPr>
      <w:bookmarkStart w:id="0" w:name="_GoBack"/>
      <w:r>
        <w:rPr>
          <w:rFonts w:ascii="宋体" w:hAnsi="宋体" w:eastAsia="宋体" w:cs="宋体"/>
          <w:b/>
          <w:bCs/>
          <w:i w:val="0"/>
          <w:iCs w:val="0"/>
          <w:color w:val="333333"/>
          <w:kern w:val="0"/>
          <w:sz w:val="32"/>
          <w:szCs w:val="32"/>
          <w:bdr w:val="none" w:color="auto" w:sz="0" w:space="0"/>
          <w:lang w:val="en-US" w:eastAsia="zh-CN" w:bidi="ar"/>
        </w:rPr>
        <w:t>应急管理部办公厅关于印发《淘汰落后危险化学品安全生产工艺技术设备目录（第一批）》的通知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560" w:lineRule="atLeast"/>
        <w:ind w:left="0" w:right="0"/>
        <w:jc w:val="center"/>
        <w:rPr>
          <w:rFonts w:ascii="宋体" w:hAnsi="宋体" w:eastAsia="宋体" w:cs="宋体"/>
          <w:color w:val="333333"/>
          <w:sz w:val="20"/>
          <w:szCs w:val="20"/>
        </w:rPr>
      </w:pPr>
      <w:r>
        <w:rPr>
          <w:rFonts w:ascii="楷体" w:hAnsi="楷体" w:eastAsia="楷体" w:cs="楷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应急厅〔</w:t>
      </w:r>
      <w:r>
        <w:rPr>
          <w:rFonts w:hint="eastAsia" w:ascii="楷体" w:hAnsi="楷体" w:eastAsia="楷体" w:cs="楷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2020〕38号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560" w:lineRule="atLeast"/>
        <w:ind w:left="0" w:right="0"/>
        <w:jc w:val="left"/>
        <w:rPr>
          <w:rFonts w:ascii="宋体" w:hAnsi="宋体" w:eastAsia="宋体" w:cs="宋体"/>
          <w:color w:val="333333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各省、自治区、直辖市应急管理厅（局），新疆生产建设兵团应急管理局，有关中央企业：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color w:val="333333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为认真落实《安全生产法》和中共中央办公厅、国务院办公厅《关于全面加强危险化学品安全生产工作的意见》以及国务院安委会《危险化学品安全专项整治三年行动方案》，加快淘汰落后的危险化学品安全生产工艺技术装备，提升企业本质安全水平，防范化解重大安全风险，应急管理部制定了《淘汰落后危险化学品安全生产工艺技术设备目录（第一批）》（见附件），现予印发，请遵照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color w:val="333333"/>
          <w:sz w:val="20"/>
          <w:szCs w:val="2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560" w:lineRule="atLeast"/>
        <w:ind w:left="0" w:right="0" w:firstLine="640"/>
        <w:jc w:val="left"/>
        <w:rPr>
          <w:rFonts w:ascii="宋体" w:hAnsi="宋体" w:eastAsia="宋体" w:cs="宋体"/>
          <w:color w:val="333333"/>
          <w:sz w:val="20"/>
          <w:szCs w:val="20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附件：淘汰落后危险化学品安全生产工艺技术设备目录（第一批）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560" w:lineRule="atLeast"/>
        <w:ind w:left="0" w:right="0" w:firstLine="640"/>
        <w:jc w:val="right"/>
        <w:rPr>
          <w:rFonts w:ascii="宋体" w:hAnsi="宋体" w:eastAsia="宋体" w:cs="宋体"/>
          <w:color w:val="333333"/>
          <w:sz w:val="20"/>
          <w:szCs w:val="2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560" w:lineRule="atLeast"/>
        <w:ind w:left="0" w:right="0" w:firstLine="640"/>
        <w:jc w:val="right"/>
        <w:rPr>
          <w:rFonts w:ascii="宋体" w:hAnsi="宋体" w:eastAsia="宋体" w:cs="宋体"/>
          <w:color w:val="333333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应急管理部办公厅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560" w:lineRule="atLeast"/>
        <w:ind w:left="0" w:right="0" w:firstLine="640"/>
        <w:jc w:val="right"/>
        <w:rPr>
          <w:rFonts w:ascii="宋体" w:hAnsi="宋体" w:eastAsia="宋体" w:cs="宋体"/>
          <w:color w:val="333333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2020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23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rPr>
          <w:rFonts w:ascii="宋体" w:hAnsi="宋体" w:eastAsia="宋体" w:cs="宋体"/>
          <w:color w:val="333333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rPr>
          <w:rFonts w:ascii="宋体" w:hAnsi="宋体" w:eastAsia="宋体" w:cs="宋体"/>
          <w:color w:val="333333"/>
          <w:sz w:val="20"/>
          <w:szCs w:val="20"/>
        </w:rPr>
      </w:pPr>
      <w:r>
        <w:rPr>
          <w:rFonts w:ascii="宋体" w:hAnsi="宋体" w:eastAsia="宋体" w:cs="宋体"/>
          <w:b/>
          <w:bCs/>
          <w:color w:val="333333"/>
          <w:sz w:val="24"/>
          <w:szCs w:val="24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ascii="宋体" w:hAnsi="宋体" w:eastAsia="宋体" w:cs="宋体"/>
          <w:color w:val="333333"/>
          <w:sz w:val="20"/>
          <w:szCs w:val="20"/>
        </w:rPr>
      </w:pPr>
      <w:r>
        <w:rPr>
          <w:rFonts w:ascii="宋体" w:hAnsi="宋体" w:eastAsia="宋体" w:cs="宋体"/>
          <w:b/>
          <w:bCs/>
          <w:color w:val="333333"/>
          <w:sz w:val="36"/>
          <w:szCs w:val="36"/>
          <w:bdr w:val="none" w:color="auto" w:sz="0" w:space="0"/>
        </w:rPr>
        <w:t>淘汰落后危险化学品安全生产工艺技术设备目录（第一批）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/>
        <w:jc w:val="both"/>
        <w:rPr>
          <w:rFonts w:ascii="宋体" w:hAnsi="宋体" w:eastAsia="宋体" w:cs="宋体"/>
          <w:color w:val="333333"/>
          <w:sz w:val="20"/>
          <w:szCs w:val="20"/>
        </w:rPr>
      </w:pP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2" w:afterAutospacing="0" w:line="560" w:lineRule="atLeast"/>
        <w:ind w:left="0" w:right="0" w:firstLine="640"/>
        <w:jc w:val="right"/>
        <w:rPr>
          <w:rFonts w:ascii="宋体" w:hAnsi="宋体" w:eastAsia="宋体" w:cs="宋体"/>
          <w:color w:val="333333"/>
          <w:sz w:val="20"/>
          <w:szCs w:val="20"/>
        </w:rPr>
      </w:pPr>
      <w:r>
        <w:rPr>
          <w:rFonts w:ascii="宋体" w:hAnsi="宋体" w:eastAsia="宋体" w:cs="宋体"/>
          <w:color w:val="333333"/>
          <w:kern w:val="0"/>
          <w:sz w:val="20"/>
          <w:szCs w:val="20"/>
          <w:bdr w:val="none" w:color="auto" w:sz="0" w:space="0"/>
          <w:lang w:val="en-US" w:eastAsia="zh-CN" w:bidi="ar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1388"/>
        <w:gridCol w:w="1547"/>
        <w:gridCol w:w="551"/>
        <w:gridCol w:w="1417"/>
        <w:gridCol w:w="1107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tblHeader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淘汰落后工艺技术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装备名称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淘汰原因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淘汰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类型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限制范围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代替的技术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或装备名称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17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一、淘汰落后的工艺技术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采用氨冷冻盐水的氯气液化工艺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氨漏入盐水中形成氨盐，再漏入液氯中，形成三氯化氮，易发生爆炸。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限制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两年内改造完毕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环保型冷冻剂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用火直接加热的涂料用树脂生产工艺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安全风险大。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禁止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列入国家发展改革委《产业结构调整指导目录（2019年本）》“淘汰类”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常压固定床间歇煤气化工艺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自动化程度相对较低，人工加煤、下灰时易发生火灾、爆炸、灼烫等事故。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限制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新、扩建项目禁止采用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新型煤气化技术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常压中和法硝酸铵生产工艺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常压反应釜内物料量大，反应速度慢且不均匀，尾气逸出量大，安全风险大。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禁止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三聚氰胺尾气综合利用项目除外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加压中和法或管式反应器法硝酸铵生产工艺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179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二、淘汰落后的设备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敞开式离心机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缺乏有效密封，工作过程中物料及蒸气逸出带来的安全风险高。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限制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涉及易燃、有毒物料禁用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密闭式离心机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多节钟罩的氯乙烯气柜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气柜导轨容易发生卡涩，使物料泄漏。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限制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新、扩建项目禁止，现有多节气柜按照单节气柜改造运行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单节钟罩气柜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煤制甲醇装置气体净化工序三元换热器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在此环境下，易发生腐蚀造成泄漏。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禁止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常规列管换热器、板式换热器等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未设置密闭及自动吸收系统的液氯储存仓库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安全风险高，易发生中毒事故。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限制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一年内改造完毕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仓库密闭，并设置与报警联锁的自动吸收装置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《危险化学品企业安全隐患排查治理导则》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采用明火高温加热方式生产石油制品的釜式蒸馏装置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安全风险高，易发生火灾爆炸事故。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禁止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常减压蒸馏塔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列入国家发展改革委《产业结构调整指导目录（2019年本）》“淘汰类”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开放式（又称敞开式）、内燃式（又称半密闭式或半开放式）电石炉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安全风险高，易发生火灾、爆炸、灼烫事故。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禁止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密闭式电石炉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电石行业产业政策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无火焰监测和熄火保护系统的燃气加热炉、导热油炉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燃气加热炉、导热油炉缺乏火焰监测和熄火保护系统的，容易导致炉膛爆炸。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限制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一年内改造完毕，科研实验用炉不受限制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带有火焰监测和熄火保护系统的燃气加热炉、导热油炉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《安全生产法》第三十五条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5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液化烃、液氯、液氨管道用软管</w:t>
            </w:r>
          </w:p>
        </w:tc>
        <w:tc>
          <w:tcPr>
            <w:tcW w:w="30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缺乏检测要求，安全可靠性低。</w:t>
            </w:r>
          </w:p>
        </w:tc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禁止</w:t>
            </w:r>
          </w:p>
        </w:tc>
        <w:tc>
          <w:tcPr>
            <w:tcW w:w="27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码头使用的金属软管和电子级产品使用的软管除外</w:t>
            </w:r>
          </w:p>
        </w:tc>
        <w:tc>
          <w:tcPr>
            <w:tcW w:w="1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金属制压力管道或万向充装系统</w:t>
            </w:r>
          </w:p>
        </w:tc>
        <w:tc>
          <w:tcPr>
            <w:tcW w:w="2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8" w:type="dxa"/>
              <w:left w:w="8" w:type="dxa"/>
              <w:bottom w:w="8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rFonts w:ascii="宋体" w:hAnsi="宋体" w:eastAsia="宋体" w:cs="宋体"/>
                <w:color w:val="333333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《石油化工企业设计防火规范》（GB 50160-2008）（2018版）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18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18"/>
          <w:szCs w:val="21"/>
        </w:rPr>
      </w:pPr>
    </w:p>
    <w:p>
      <w:pPr>
        <w:rPr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YWI0YWE3YWNmZGVjNjMyYTRjYTFjMTc3YzAyZGIifQ=="/>
  </w:docVars>
  <w:rsids>
    <w:rsidRoot w:val="00000000"/>
    <w:rsid w:val="09D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2023-08-28T06:01:45Z</dcterms:created>
  <dc:creator>博富特</dc:creator>
  <cp:lastModifiedBy>monkeyhappy</cp:lastModifiedBy>
  <dcterms:modified xsi:type="dcterms:W3CDTF">2023-08-28T06:02:05Z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3067D187D4DC4062A97B6EB21AE614EF_12</vt:lpwstr>
  </property>
</Properties>
</file>