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333333"/>
          <w:spacing w:val="0"/>
          <w:sz w:val="22"/>
          <w:szCs w:val="22"/>
        </w:rPr>
      </w:pPr>
      <w:bookmarkStart w:id="0" w:name="_GoBack"/>
      <w:r>
        <w:rPr>
          <w:rFonts w:hint="eastAsia" w:ascii="宋体" w:hAnsi="宋体" w:eastAsia="宋体" w:cs="宋体"/>
          <w:b/>
          <w:bCs/>
          <w:i w:val="0"/>
          <w:iCs w:val="0"/>
          <w:caps w:val="0"/>
          <w:color w:val="333399"/>
          <w:spacing w:val="0"/>
          <w:sz w:val="22"/>
          <w:szCs w:val="22"/>
          <w:bdr w:val="none" w:color="auto" w:sz="0" w:space="0"/>
          <w:shd w:val="clear" w:fill="FFFFFF"/>
        </w:rPr>
        <w:t>关于高危行业领域安全技能提升行动计划的实施意见</w:t>
      </w:r>
      <w:bookmarkEnd w:id="0"/>
      <w:r>
        <w:rPr>
          <w:rFonts w:hint="eastAsia" w:ascii="宋体" w:hAnsi="宋体" w:eastAsia="宋体" w:cs="宋体"/>
          <w:b/>
          <w:bCs/>
          <w:i w:val="0"/>
          <w:iCs w:val="0"/>
          <w:caps w:val="0"/>
          <w:color w:val="333399"/>
          <w:spacing w:val="0"/>
          <w:sz w:val="22"/>
          <w:szCs w:val="22"/>
          <w:bdr w:val="none" w:color="auto" w:sz="0" w:space="0"/>
          <w:shd w:val="clear" w:fill="FFFFFF"/>
        </w:rPr>
        <w:br w:type="textWrapping"/>
      </w:r>
      <w:r>
        <w:rPr>
          <w:rFonts w:hint="eastAsia" w:ascii="宋体" w:hAnsi="宋体" w:eastAsia="宋体" w:cs="宋体"/>
          <w:i w:val="0"/>
          <w:iCs w:val="0"/>
          <w:caps w:val="0"/>
          <w:color w:val="333399"/>
          <w:spacing w:val="0"/>
          <w:sz w:val="22"/>
          <w:szCs w:val="22"/>
          <w:bdr w:val="none" w:color="auto" w:sz="0" w:space="0"/>
          <w:shd w:val="clear" w:fill="FFFFFF"/>
        </w:rPr>
        <w:t>应急〔2019〕107号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各省、自治区、直辖市及新疆生产建设兵团应急管理厅（局）、人力资源和社会保障厅（局）、教育厅（局）、财政厅（局）、煤矿安全培训主管部门，各省级煤矿安全监察局，有关中央企业，各有关单位：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按照《国务院办公厅关于印发职业技能提升行动方案（2019-2021年）的通知》（国办发〔2019〕24号）要求，为认真实施高危行业领域安全技能提升行动计划，现提出以下意见。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2"/>
          <w:szCs w:val="22"/>
        </w:rPr>
      </w:pPr>
      <w:r>
        <w:rPr>
          <w:rFonts w:hint="eastAsia" w:ascii="宋体" w:hAnsi="宋体" w:eastAsia="宋体" w:cs="宋体"/>
          <w:b/>
          <w:bCs/>
          <w:i w:val="0"/>
          <w:iCs w:val="0"/>
          <w:caps w:val="0"/>
          <w:color w:val="333333"/>
          <w:spacing w:val="0"/>
          <w:sz w:val="22"/>
          <w:szCs w:val="22"/>
          <w:bdr w:val="none" w:color="auto" w:sz="0" w:space="0"/>
          <w:shd w:val="clear" w:fill="FFFFFF"/>
        </w:rPr>
        <w:t>一、目标任务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从现在开始至2021年底，重点在化工危险化学品、煤矿、非煤矿山、金属冶炼、烟花爆竹等高危行业企业（以下简称高危企业）实施安全技能提升行动计划，推动从业人员安全技能水平大幅度提升。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高危企业在岗和新招录从业人员100%培训考核合格后上岗；特种作业人员100%持证上岗；高危企业班组长普遍接受安全技能提升培训，其中取得职业资格证书或职业技能等级证书或接受相关专业中职及以上学历教育的人员比例提高20个百分点以上；化工危险化学品、煤矿、金属非金属地下矿山、金属冶炼、石油天然气开采企业从业人员中取得职业资格证书或职业技能等级证书的比例达到30%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遴选培育50个以上具有辐射引领作用的安全技能实训和特种作业人员实操考试示范基地、50个以上安全生产教育培训示范职业院校（含技工院校，下同）、100家以上安全生产产教融合型企业；安全技能培训基础进一步夯实，培训供给能力和质量大幅度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——安全技能培训制度机制更加完善，以企业为主体、各类机构积极参与、劳动者踊跃参加、部门协调配合、政府激励推动的高危行业领域安全技能培训格局初步形成。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2"/>
          <w:szCs w:val="22"/>
        </w:rPr>
      </w:pPr>
      <w:r>
        <w:rPr>
          <w:rFonts w:hint="eastAsia" w:ascii="宋体" w:hAnsi="宋体" w:eastAsia="宋体" w:cs="宋体"/>
          <w:b/>
          <w:bCs/>
          <w:i w:val="0"/>
          <w:iCs w:val="0"/>
          <w:caps w:val="0"/>
          <w:color w:val="333333"/>
          <w:spacing w:val="0"/>
          <w:sz w:val="22"/>
          <w:szCs w:val="22"/>
          <w:bdr w:val="none" w:color="auto" w:sz="0" w:space="0"/>
          <w:shd w:val="clear" w:fill="FFFFFF"/>
        </w:rPr>
        <w:t>二、有针对性地开展安全技能提升培训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一）开展在岗员工安全技能提升培训。高危企业是安全技能提升培训的责任主体，企业主要负责人要组织制定并推动实施安全技能提升培训计划。培训计划要覆盖全员，将被派遣劳动者、外包施工队伍人员纳入统一管理和培训。要围绕提升职工基本技能水平和操作规程执行、岗位风险管控、安全隐患排查及初始应急处置的能力，构建针对性培训课程体系和考核标准。要分岗位对全体员工考核一遍，考核不合格的，按照新上岗人员培训标准离岗培训，考核合格后再上岗。企业要制定计划，2021年底前安排10%以上的重点岗位职工完成职业技能晋级培训，取得职业资格证书或职业技能等级证书后，按照有关规定给予职业培训补贴或参保职工技能提升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二）严把新上岗员工安全技能培训关。高危企业新上岗人员安全生产与工伤预防培训不得少于72学时，考核合格后方可上岗；要建立健全并严格落实师带徒制度，出徒后方可独立上岗。要加大从职业院校招收新员工力度，逐步提高从业人员中高中阶段及以上文化程度的招收比例。工作岗位调整或离岗3个月以上重新上岗的人员要接受针对性安全培训，考核合格方可重新上岗。人力资源社会保障、教育、财政部门要会同应急管理、煤矿安监部门在危险化学品“两重点一重大”装置操作、矿山井下作业、石油天然气钻井作业、油气管道带压开孔、金属冶炼煤气作业等风险偏高的技能操作型岗位新招录员工中，推行企业新型学徒制，实行“入企即入校”企校合作培养培训，按规定给予职业培训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三）实施班组长安全技能提升专项培训。各省级应急管理、煤矿安全培训主管部门要统筹制定总体方案，明确目标进度、培训内容、考核形式、实施主体、保障措施等，2021年底前将高危企业班组长轮训一遍。实行企业内安全培训、职业技能培训等学习成果互认。各级应急管理、煤矿安全培训主管部门要会同教育、人力资源社会保障部门搭建校企合作平台，推动职业院校设置安全管理相关专业，通过“文化素质+职业技能”等多种方式面向高危班组长招生，由校企共研培养方案，根据企业生产特点灵活安排学习，推行面向真实生产环境的任务式培养模式，实施“学历证书+若干职业技能等级证书制度”试点。对于符合条件人员，按规定给予职业培训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四）强化特种作业人员安全技能培训考试。各企业要依法明确从事特种作业岗位的人员，新任用或招录特种作业人员要参加专门的安全技能培训，考试合格后持证上岗。严格危险化学品和新申请煤矿安全作业的特种作业人员须具备高中阶段及以上文化程度，严格特种作业人员理论和实际操作培训课时要求，不具备实际操作条件的机构不得承担培训任务，鼓励企业建立特种作业人员培训考试点。应急管理部门、煤矿安全培训主管部门要组织实施特种作业实操考点创优提升计划，取消以问答代替实际操作的培训和考试方式。结合培训内容、培训时长、考核结果、物价水平等因素，确定特种作业人员安全技能培训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五）将安全生产知识贯穿各类人员职业培训全过程。人力资源社会保障部门要把安全生产与工伤预防内容编入各类人员职业技能标准和培训教材，明确培训课时要求，考核评价中涉及安全生产的关键技能不合格的，则技能考核成绩不及格。教育、人力资源社会保障部门要在职业院校相关专业教学标准中增加安全生产知识，作为必修内容。应急管理部门要提供专家、内容资源等支持，会同人力资源社会保障和教育部门组织编制培训大纲和有关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2"/>
          <w:szCs w:val="22"/>
        </w:rPr>
      </w:pPr>
      <w:r>
        <w:rPr>
          <w:rFonts w:hint="eastAsia" w:ascii="宋体" w:hAnsi="宋体" w:eastAsia="宋体" w:cs="宋体"/>
          <w:b/>
          <w:bCs/>
          <w:i w:val="0"/>
          <w:iCs w:val="0"/>
          <w:caps w:val="0"/>
          <w:color w:val="333333"/>
          <w:spacing w:val="0"/>
          <w:sz w:val="22"/>
          <w:szCs w:val="22"/>
          <w:bdr w:val="none" w:color="auto" w:sz="0" w:space="0"/>
          <w:shd w:val="clear" w:fill="FFFFFF"/>
        </w:rPr>
        <w:t>三、提高安全技能培训供给质量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一）重点提升企业安全技能培训能力。鼓励有能力的企业设立职工培训中心、编制课程体系、建立考核标准和题库，自主组织安全技能培训考核；其他不具备能力的企业要委托有能力的企业或机构，提供长期、量身定制的培训考核服务。强化规划布局和经费投入，支持在高危企业集中的地区新建或提升改造一批具有辐射引领作用的高水平安全生产和技能实训基地，其中2021年底前实现省级以上化工园区都有具备实训条件的专业机构、其他化工园区都有自建共建或委托具备实训条件的专业机构提供安全技能培训服务。应急管理、煤矿安全培训主管部门要遴选一批安全技能培训示范企业，推荐纳入产教融合型企业，按规定给予政策激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二）推动职业院校开展安全技能培训。应急管理、人力资源社会保障和教育部门要联合遴选公布一批安全技能提升培训能力和意愿较强的示范职业院校，引导强化高危行业安全技能培训供给，开展化工危险化学品产业工人培养试点。应急管理部门要会同有关部门经常举办高危行业产教融合对接洽谈活动，推动一批化工园区与职业院校建立产教联盟，推动一批职业院校在高危企业设立分校区，推动一批高危企业依托职业院校设置职工培训机构、实训基地。应急管理部门、煤矿安全培训主管部门要共建一批安全生产特色职业院校，支持职业院校申报特种作业人员考试点。鼓励社会培训机构开展安全技能提升培训，落实同等支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三）建设安全生产网络平台和机制。应急管理部门要引导各类力量参与，建设企业安全生产网络学院和高危行业分院，建立完善课程超市和自主选学机制。建立高危行业安全技能学习培训学分银行制度，有序开展学习成果的认定、积累、转换，制定线上学习课时按比例计入培训总课时的标准，逐步实现理论知识更新再培训以线上培训为主。探索为每位高危企业从业人员建立安全技能培训学习个人终身账号和档案，存储个人学习、培训、从业等信息，一人一档、终身有效，使培训和考核过程可追溯。推动现代模拟实训考试技术应用，防止过度虚拟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四）强化专兼职师资队伍建设。高危企业要建立健全内部培训师选拔、考核和退出机制，大力推动管理、技术人员和能工巧匠上讲台，并给予授课技巧培训和基本课件、通用案例等支持，逐步实现企业在岗培训以企业内训师承担为主。省级以上应急管理部门要公开遴选、择优公布若干区域性、专业性安全技能培训师资研修基地。各培训机构要制定师资培养培训计划，并组织教师每年到企业实践或调研，提高授课针对性和感染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五）规范培训考核标准体系。应急管理部门、煤矿安全培训主管部门要发挥标准在安全技能培训中的基础性作用，加快构建培训机构标准、实训条件标准体系。推广结构化、模块化的矩阵培训方法和职业培训包制度，提升培训规范性、系统性。按照看得懂、记得住、用得上原则，开发分层次、分专业、分岗位的教材体系，倡导使用新型活页式、工作手册式教材，鼓励企业编写企业内部培训教材。建设安全生产数字资源库，推动安全培训课件、事故案例、电子教材等资源共建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2"/>
          <w:szCs w:val="22"/>
        </w:rPr>
      </w:pPr>
      <w:r>
        <w:rPr>
          <w:rFonts w:hint="eastAsia" w:ascii="宋体" w:hAnsi="宋体" w:eastAsia="宋体" w:cs="宋体"/>
          <w:b/>
          <w:bCs/>
          <w:i w:val="0"/>
          <w:iCs w:val="0"/>
          <w:caps w:val="0"/>
          <w:color w:val="333333"/>
          <w:spacing w:val="0"/>
          <w:sz w:val="22"/>
          <w:szCs w:val="22"/>
          <w:bdr w:val="none" w:color="auto" w:sz="0" w:space="0"/>
          <w:shd w:val="clear" w:fill="FFFFFF"/>
        </w:rPr>
        <w:t>四、强化保障措施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一）强化组织领导保障。各省级应急管理部门要会同人力资源社会保障、教育、财政、煤矿安全培训主管部门研究制定本地区高危行业领域安全技能提升行动计划实施方案。要建立工作抽查评估和情况通报机制，将方案实施情况纳入对下级政府安全生产和消防综合考核内容，作为安全生产标准化达标评审必要条件。发挥行业协会在促进校企合作对接、培训考试标准建设等方面的作用。注重总结经验、推广典型，层层培育示范企业、示范院校、示范基地。强化政策解读和宣传，适时举办全国性安全技能竞赛，营造良好工作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二）落实职业培训补贴政策。要将高危行业领域安全技能提升行动计划中相关内容纳入职业技能提升行动，细化有关资金补贴条件和具体标准。高危企业要在职工教育培训经费和安全生产费用预算中配套安排安全技能培训资金，用于一般从业人员安全技能培训；落实企业职工教育经费税前扣除限额提高至工资薪金总额8%的税收政策。依法从工伤保险基金提取工伤预防费用于工伤预防的宣传培训。推动安全生产责任险保险机构为参保企业提供安全技能培训服务。通过现有渠道安排资金，对安全技能实训基地建设、培训教材开发、师资培训、数字资源建设等给予支持。省级应急管理部门、煤矿安全培训主管部门要会同人力资源社会保障部门建立完善安全技能培训机构管理制度，将符合条件的安全技能培训机构名单，纳入人力资源社会保障部门统一目录清单管理；要建立安全技能培训实名制管理平台，及时向人力资源社会保障部门推送补贴性培训人员信息，减少企业及个人报送纸质材料，提高审核拨付补贴资金工作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三）加大执法检查力度。各级应急管理部门、煤矿安监部门要把企业安全培训纳入年度执法计划，规范安全培训执法程序和方法，将抽查企业培训计划、持证情况、抽考安全生产常识作为培训执法重要内容，发现应持证未持证或未经培训就上岗的人员，依法责令企业限期改正并予以处罚。发现不按统一的培训大纲组织教学培训、不按统一题库进行考试等行为的安全培训和考试机构，要依法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right"/>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应急管理部</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人力资源和社会保障部</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教育部</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财政部</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国家煤矿安全监察局</w:t>
      </w:r>
      <w:r>
        <w:rPr>
          <w:rFonts w:hint="eastAsia" w:ascii="宋体" w:hAnsi="宋体" w:eastAsia="宋体" w:cs="宋体"/>
          <w:i w:val="0"/>
          <w:iCs w:val="0"/>
          <w:caps w:val="0"/>
          <w:color w:val="333333"/>
          <w:spacing w:val="0"/>
          <w:sz w:val="22"/>
          <w:szCs w:val="22"/>
          <w:bdr w:val="none" w:color="auto" w:sz="0" w:space="0"/>
          <w:shd w:val="clear" w:fill="FFFFFF"/>
        </w:rPr>
        <w:br w:type="textWrapping"/>
      </w:r>
      <w:r>
        <w:rPr>
          <w:rFonts w:hint="eastAsia" w:ascii="宋体" w:hAnsi="宋体" w:eastAsia="宋体" w:cs="宋体"/>
          <w:i w:val="0"/>
          <w:iCs w:val="0"/>
          <w:caps w:val="0"/>
          <w:color w:val="333333"/>
          <w:spacing w:val="0"/>
          <w:sz w:val="22"/>
          <w:szCs w:val="22"/>
          <w:bdr w:val="none" w:color="auto" w:sz="0" w:space="0"/>
          <w:shd w:val="clear" w:fill="FFFFFF"/>
        </w:rPr>
        <w:t>2019年10月28日</w:t>
      </w:r>
    </w:p>
    <w:p>
      <w:pPr>
        <w:rPr>
          <w:rFonts w:hint="eastAsia" w:ascii="宋体" w:hAnsi="宋体" w:eastAsia="宋体" w:cs="宋体"/>
          <w:sz w:val="20"/>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57716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2023-08-28T05:37:28Z</dcterms:created>
  <dc:creator>博富特</dc:creator>
  <cp:lastModifiedBy>monkeyhappy</cp:lastModifiedBy>
  <dcterms:modified xsi:type="dcterms:W3CDTF">2023-08-28T05:39:35Z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8B5B0CBA0FB7424098F3989D8828E22E_12</vt:lpwstr>
  </property>
</Properties>
</file>