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ascii="宋体" w:hAnsi="宋体" w:eastAsia="宋体" w:cs="宋体"/>
          <w:i w:val="0"/>
          <w:iCs w:val="0"/>
          <w:caps w:val="0"/>
          <w:color w:val="333333"/>
          <w:spacing w:val="0"/>
          <w:sz w:val="20"/>
          <w:szCs w:val="20"/>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国家安全监管总局关于公布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ascii="宋体" w:hAnsi="宋体" w:eastAsia="宋体" w:cs="宋体"/>
          <w:i w:val="0"/>
          <w:iCs w:val="0"/>
          <w:caps w:val="0"/>
          <w:color w:val="333333"/>
          <w:spacing w:val="0"/>
          <w:sz w:val="20"/>
          <w:szCs w:val="20"/>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首批重点监管的危险化工工艺目录的通知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hint="eastAsia" w:ascii="楷体" w:hAnsi="楷体" w:eastAsia="楷体" w:cs="楷体"/>
          <w:i w:val="0"/>
          <w:iCs w:val="0"/>
          <w:caps w:val="0"/>
          <w:color w:val="333333"/>
          <w:spacing w:val="0"/>
          <w:kern w:val="0"/>
          <w:sz w:val="24"/>
          <w:szCs w:val="24"/>
          <w:bdr w:val="none" w:color="auto" w:sz="0" w:space="0"/>
          <w:shd w:val="clear" w:fill="FFFFFF"/>
          <w:lang w:val="en-US" w:eastAsia="zh-CN" w:bidi="ar"/>
        </w:rPr>
      </w:pPr>
      <w:bookmarkStart w:id="0" w:name="_GoBack"/>
      <w:bookmarkEnd w:id="0"/>
      <w:r>
        <w:rPr>
          <w:rFonts w:ascii="楷体" w:hAnsi="楷体" w:eastAsia="楷体" w:cs="楷体"/>
          <w:i w:val="0"/>
          <w:iCs w:val="0"/>
          <w:caps w:val="0"/>
          <w:color w:val="333333"/>
          <w:spacing w:val="0"/>
          <w:kern w:val="0"/>
          <w:sz w:val="24"/>
          <w:szCs w:val="24"/>
          <w:bdr w:val="none" w:color="auto" w:sz="0" w:space="0"/>
          <w:shd w:val="clear" w:fill="FFFFFF"/>
          <w:lang w:val="en-US" w:eastAsia="zh-CN" w:bidi="ar"/>
        </w:rPr>
        <w:t>安监总管三〔</w:t>
      </w:r>
      <w:r>
        <w:rPr>
          <w:rFonts w:hint="eastAsia" w:ascii="楷体" w:hAnsi="楷体" w:eastAsia="楷体" w:cs="楷体"/>
          <w:i w:val="0"/>
          <w:iCs w:val="0"/>
          <w:caps w:val="0"/>
          <w:color w:val="333333"/>
          <w:spacing w:val="0"/>
          <w:kern w:val="0"/>
          <w:sz w:val="24"/>
          <w:szCs w:val="24"/>
          <w:bdr w:val="none" w:color="auto" w:sz="0" w:space="0"/>
          <w:shd w:val="clear" w:fill="FFFFFF"/>
          <w:lang w:val="en-US" w:eastAsia="zh-CN" w:bidi="ar"/>
        </w:rPr>
        <w:t>2009〕116号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hint="eastAsia" w:ascii="楷体" w:hAnsi="楷体" w:eastAsia="楷体" w:cs="楷体"/>
          <w:i w:val="0"/>
          <w:iCs w:val="0"/>
          <w:caps w:val="0"/>
          <w:color w:val="333333"/>
          <w:spacing w:val="0"/>
          <w:kern w:val="0"/>
          <w:sz w:val="24"/>
          <w:szCs w:val="24"/>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left"/>
        <w:textAlignment w:val="auto"/>
        <w:rPr>
          <w:rFonts w:ascii="宋体" w:hAnsi="宋体" w:eastAsia="宋体" w:cs="宋体"/>
          <w:i w:val="0"/>
          <w:iCs w:val="0"/>
          <w:caps w:val="0"/>
          <w:color w:val="333333"/>
          <w:spacing w:val="0"/>
          <w:sz w:val="20"/>
          <w:szCs w:val="20"/>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各省、自治区、直辖市及新疆生产建设兵团安全生产监督管理局，有关中央企业：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为贯彻落实《国务院安委会办公室关于进一步加强危险化学品安全生产工作的指导意见》（安委办〔</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2008</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26</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号</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以下简称《指导意见》）有关要求，提高化工生产装置和危险化学品储存设施本质安全水平，指导各地对涉及危险化工工艺的生产装置进行自动化改造，国家安全监管总局组织编制了《首批重点监管的危险化工工艺目录》和《首批重点监管的危险化工工艺安全控制要求、重点监控参数及推荐的控制方案》，现予公布，并就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0"/>
          <w:szCs w:val="20"/>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一、化工企业要按照《首批重点监管的危险化工工艺目录》、《首批重点监管的危险化工工艺安全控制要求、重点监控参数及推荐的控制方案》要求，对照本企业采用的危险化工工艺及其特点，确定重点监控的工艺参数，装备和完善自动控制系统，大型和高度危险化工装置要按照推荐的控制方案装备紧急停车系统。今后，采用危险化工工艺的新建生产装置原则上要由甲级资质化工设计单位进行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二、各地安全监管部门要根据《指导意见》的要求，对本辖区化工企业采用危险化工工艺的生产装置自动化改造工作，要制定计划、落实措施、加快推进，力争在</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2010</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年底前完成所有采用危险化工工艺的生产装置自动化改造工作，促进化工企业安全生产条件的进一步改善。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0"/>
          <w:szCs w:val="20"/>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三、在涉及危险化工工艺的生产装置自动化改造过程中，各有关单位如果发现《首批重点监管的危险化工工艺目录》和《首批重点监管的危险化工工艺安全控制要求、重点监控参数及推荐的控制方案》存在问题，请认真研究提出处理意见，并及时反馈国家安全监管总局（安全监督管理三司）。各地安全监管部门也可根据当地化工产业和安全生产的特点，补充和确定本辖区重点监管的危险化工工艺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0"/>
          <w:szCs w:val="20"/>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四、请各省级安全监管局将本通知转发给辖区内（或者所属）的化工企业，并抄送从事化工建设项目设计的单位，以及有关具有乙级资质的安全评价机构。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right="0"/>
        <w:jc w:val="left"/>
        <w:textAlignment w:val="auto"/>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附件：</w:t>
      </w:r>
      <w:r>
        <w:rPr>
          <w:rFonts w:ascii="宋体" w:hAnsi="宋体" w:eastAsia="宋体" w:cs="宋体"/>
          <w:i w:val="0"/>
          <w:iCs w:val="0"/>
          <w:caps w:val="0"/>
          <w:color w:val="000000"/>
          <w:spacing w:val="0"/>
          <w:kern w:val="0"/>
          <w:sz w:val="22"/>
          <w:szCs w:val="22"/>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22"/>
          <w:szCs w:val="22"/>
          <w:u w:val="none"/>
          <w:bdr w:val="none" w:color="auto" w:sz="0" w:space="0"/>
          <w:shd w:val="clear" w:fill="FFFFFF"/>
          <w:lang w:val="en-US" w:eastAsia="zh-CN" w:bidi="ar"/>
        </w:rPr>
        <w:instrText xml:space="preserve"> HYPERLINK "https://www.mem.gov.cn/gk/gwgg/agwzlfl/tz_01/200906/W020220302578464491203.docx" </w:instrText>
      </w:r>
      <w:r>
        <w:rPr>
          <w:rFonts w:ascii="宋体" w:hAnsi="宋体" w:eastAsia="宋体" w:cs="宋体"/>
          <w:i w:val="0"/>
          <w:iCs w:val="0"/>
          <w:caps w:val="0"/>
          <w:color w:val="000000"/>
          <w:spacing w:val="0"/>
          <w:kern w:val="0"/>
          <w:sz w:val="22"/>
          <w:szCs w:val="22"/>
          <w:u w:val="none"/>
          <w:bdr w:val="none" w:color="auto" w:sz="0" w:space="0"/>
          <w:shd w:val="clear" w:fill="FFFFFF"/>
          <w:lang w:val="en-US" w:eastAsia="zh-CN" w:bidi="ar"/>
        </w:rPr>
        <w:fldChar w:fldCharType="separate"/>
      </w:r>
      <w:r>
        <w:rPr>
          <w:rStyle w:val="4"/>
          <w:rFonts w:hint="default" w:ascii="Times New Roman" w:hAnsi="Times New Roman" w:eastAsia="宋体" w:cs="Times New Roman"/>
          <w:i w:val="0"/>
          <w:iCs w:val="0"/>
          <w:caps w:val="0"/>
          <w:color w:val="000000"/>
          <w:spacing w:val="0"/>
          <w:sz w:val="22"/>
          <w:szCs w:val="22"/>
          <w:u w:val="none"/>
          <w:bdr w:val="none" w:color="auto" w:sz="0" w:space="0"/>
          <w:shd w:val="clear" w:fill="FFFFFF"/>
        </w:rPr>
        <w:t>1.</w:t>
      </w:r>
      <w:r>
        <w:rPr>
          <w:rStyle w:val="4"/>
          <w:rFonts w:hint="eastAsia" w:ascii="宋体" w:hAnsi="宋体" w:eastAsia="宋体" w:cs="宋体"/>
          <w:i w:val="0"/>
          <w:iCs w:val="0"/>
          <w:caps w:val="0"/>
          <w:color w:val="000000"/>
          <w:spacing w:val="0"/>
          <w:sz w:val="22"/>
          <w:szCs w:val="22"/>
          <w:u w:val="none"/>
          <w:bdr w:val="none" w:color="auto" w:sz="0" w:space="0"/>
          <w:shd w:val="clear" w:fill="FFFFFF"/>
        </w:rPr>
        <w:t>首批重点监管的危险化工工艺目录</w:t>
      </w:r>
      <w:r>
        <w:rPr>
          <w:rFonts w:ascii="宋体" w:hAnsi="宋体" w:eastAsia="宋体" w:cs="宋体"/>
          <w:i w:val="0"/>
          <w:iCs w:val="0"/>
          <w:caps w:val="0"/>
          <w:color w:val="000000"/>
          <w:spacing w:val="0"/>
          <w:kern w:val="0"/>
          <w:sz w:val="22"/>
          <w:szCs w:val="2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right="0"/>
        <w:jc w:val="left"/>
        <w:textAlignment w:val="auto"/>
        <w:rPr>
          <w:rFonts w:ascii="宋体" w:hAnsi="宋体" w:eastAsia="宋体" w:cs="宋体"/>
          <w:i w:val="0"/>
          <w:iCs w:val="0"/>
          <w:caps w:val="0"/>
          <w:color w:val="333333"/>
          <w:spacing w:val="0"/>
          <w:sz w:val="18"/>
          <w:szCs w:val="18"/>
        </w:rPr>
      </w:pPr>
      <w:r>
        <w:rPr>
          <w:rFonts w:ascii="宋体" w:hAnsi="宋体" w:eastAsia="宋体" w:cs="宋体"/>
          <w:i w:val="0"/>
          <w:iCs w:val="0"/>
          <w:caps w:val="0"/>
          <w:color w:val="000000"/>
          <w:spacing w:val="0"/>
          <w:kern w:val="0"/>
          <w:sz w:val="22"/>
          <w:szCs w:val="22"/>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22"/>
          <w:szCs w:val="22"/>
          <w:u w:val="none"/>
          <w:bdr w:val="none" w:color="auto" w:sz="0" w:space="0"/>
          <w:shd w:val="clear" w:fill="FFFFFF"/>
          <w:lang w:val="en-US" w:eastAsia="zh-CN" w:bidi="ar"/>
        </w:rPr>
        <w:instrText xml:space="preserve"> HYPERLINK "https://www.mem.gov.cn/gk/gwgg/agwzlfl/tz_01/200906/W020220302578464495652.docx" </w:instrText>
      </w:r>
      <w:r>
        <w:rPr>
          <w:rFonts w:ascii="宋体" w:hAnsi="宋体" w:eastAsia="宋体" w:cs="宋体"/>
          <w:i w:val="0"/>
          <w:iCs w:val="0"/>
          <w:caps w:val="0"/>
          <w:color w:val="000000"/>
          <w:spacing w:val="0"/>
          <w:kern w:val="0"/>
          <w:sz w:val="22"/>
          <w:szCs w:val="22"/>
          <w:u w:val="none"/>
          <w:bdr w:val="none" w:color="auto" w:sz="0" w:space="0"/>
          <w:shd w:val="clear" w:fill="FFFFFF"/>
          <w:lang w:val="en-US" w:eastAsia="zh-CN" w:bidi="ar"/>
        </w:rPr>
        <w:fldChar w:fldCharType="separate"/>
      </w:r>
      <w:r>
        <w:rPr>
          <w:rStyle w:val="4"/>
          <w:rFonts w:hint="default" w:ascii="Times New Roman" w:hAnsi="Times New Roman" w:eastAsia="宋体" w:cs="Times New Roman"/>
          <w:i w:val="0"/>
          <w:iCs w:val="0"/>
          <w:caps w:val="0"/>
          <w:color w:val="000000"/>
          <w:spacing w:val="0"/>
          <w:sz w:val="22"/>
          <w:szCs w:val="22"/>
          <w:u w:val="none"/>
          <w:bdr w:val="none" w:color="auto" w:sz="0" w:space="0"/>
          <w:shd w:val="clear" w:fill="FFFFFF"/>
        </w:rPr>
        <w:t>2.</w:t>
      </w:r>
      <w:r>
        <w:rPr>
          <w:rStyle w:val="4"/>
          <w:rFonts w:hint="eastAsia" w:ascii="宋体" w:hAnsi="宋体" w:eastAsia="宋体" w:cs="宋体"/>
          <w:i w:val="0"/>
          <w:iCs w:val="0"/>
          <w:caps w:val="0"/>
          <w:color w:val="000000"/>
          <w:spacing w:val="0"/>
          <w:sz w:val="22"/>
          <w:szCs w:val="22"/>
          <w:u w:val="none"/>
          <w:bdr w:val="none" w:color="auto" w:sz="0" w:space="0"/>
          <w:shd w:val="clear" w:fill="FFFFFF"/>
        </w:rPr>
        <w:t>首批重点监管的危险化工工艺安全控制要求、重点监控参数及推荐的控制方案</w:t>
      </w:r>
      <w:r>
        <w:rPr>
          <w:rFonts w:ascii="宋体" w:hAnsi="宋体" w:eastAsia="宋体" w:cs="宋体"/>
          <w:i w:val="0"/>
          <w:iCs w:val="0"/>
          <w:caps w:val="0"/>
          <w:color w:val="000000"/>
          <w:spacing w:val="0"/>
          <w:kern w:val="0"/>
          <w:sz w:val="22"/>
          <w:szCs w:val="22"/>
          <w:u w:val="none"/>
          <w:bdr w:val="none" w:color="auto" w:sz="0" w:space="0"/>
          <w:shd w:val="clear" w:fill="FFFFFF"/>
          <w:lang w:val="en-US" w:eastAsia="zh-CN" w:bidi="ar"/>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sz w:val="18"/>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296B2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818</Words>
  <Characters>830</Characters>
  <Lines>0</Lines>
  <Paragraphs>0</Paragraphs>
  <TotalTime>1</TotalTime>
  <ScaleCrop>false</ScaleCrop>
  <LinksUpToDate>false</LinksUpToDate>
  <CharactersWithSpaces>830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2023-08-10T07:29:22Z</dcterms:created>
  <dc:creator>博富特</dc:creator>
  <cp:lastModifiedBy>monkeyhappy</cp:lastModifiedBy>
  <dcterms:modified xsi:type="dcterms:W3CDTF">2023-08-10T07:30:39Z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401D961606344AAEBD4B8D36D849E1E3_12</vt:lpwstr>
  </property>
</Properties>
</file>