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方正小标宋简体" w:cs="Times New Roman"/>
          <w:b w:val="0"/>
          <w:bCs/>
          <w:color w:val="auto"/>
          <w:kern w:val="2"/>
          <w:sz w:val="44"/>
          <w:szCs w:val="44"/>
          <w:lang w:val="en-US" w:eastAsia="zh-CN" w:bidi="ar-SA"/>
        </w:rPr>
      </w:pPr>
      <w:bookmarkStart w:id="2" w:name="_GoBack"/>
      <w:bookmarkEnd w:id="2"/>
      <w:r>
        <w:rPr>
          <w:rFonts w:hint="eastAsia" w:ascii="宋体" w:hAnsi="宋体" w:eastAsia="方正小标宋简体" w:cs="Times New Roman"/>
          <w:b w:val="0"/>
          <w:bCs/>
          <w:color w:val="auto"/>
          <w:kern w:val="2"/>
          <w:sz w:val="44"/>
          <w:szCs w:val="44"/>
          <w:lang w:val="en-US" w:eastAsia="zh-CN" w:bidi="ar-SA"/>
        </w:rPr>
        <w:t>房屋市政工程生产安全重大事故隐患判定标准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w:t>
      </w:r>
      <w:r>
        <w:rPr>
          <w:rFonts w:hint="eastAsia" w:ascii="黑体" w:hAnsi="宋体" w:eastAsia="黑体"/>
          <w:sz w:val="32"/>
          <w:szCs w:val="32"/>
          <w:lang w:val="en-US" w:eastAsia="zh-CN"/>
        </w:rPr>
        <w:t>2022版</w:t>
      </w:r>
      <w:r>
        <w:rPr>
          <w:rFonts w:hint="eastAsia" w:ascii="黑体" w:hAnsi="宋体" w:eastAsia="黑体"/>
          <w:sz w:val="32"/>
          <w:szCs w:val="32"/>
          <w:lang w:eastAsia="zh-CN"/>
        </w:rPr>
        <w:t>）</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12"/>
          <w:rFonts w:hint="eastAsia" w:ascii="黑体" w:hAnsi="黑体" w:eastAsia="黑体" w:cs="黑体"/>
          <w:b w:val="0"/>
          <w:bCs w:val="0"/>
          <w:color w:val="auto"/>
          <w:kern w:val="0"/>
          <w:sz w:val="32"/>
          <w:szCs w:val="32"/>
          <w:lang w:val="en-US" w:eastAsia="zh-CN" w:bidi="ar-SA"/>
        </w:rPr>
      </w:pP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Style w:val="12"/>
          <w:rFonts w:hint="eastAsia" w:ascii="黑体" w:hAnsi="黑体" w:eastAsia="黑体" w:cs="黑体"/>
          <w:b w:val="0"/>
          <w:bCs w:val="0"/>
          <w:color w:val="auto"/>
          <w:kern w:val="0"/>
          <w:sz w:val="32"/>
          <w:szCs w:val="32"/>
          <w:lang w:val="en-US" w:eastAsia="zh-CN" w:bidi="ar-SA"/>
        </w:rPr>
        <w:t>第一条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为准确认定、及时消除房屋建筑和市政基础设施工程生产安全重大事故隐患，</w:t>
      </w:r>
      <w:r>
        <w:rPr>
          <w:rFonts w:hint="eastAsia" w:ascii="仿宋_GB2312" w:hAnsi="仿宋_GB2312" w:eastAsia="仿宋_GB2312" w:cs="Times New Roman"/>
          <w:sz w:val="32"/>
          <w:szCs w:val="32"/>
          <w:lang w:val="en-US" w:eastAsia="zh-CN"/>
        </w:rPr>
        <w:t>有效防范和遏制群死群伤事故发生，</w:t>
      </w:r>
      <w:r>
        <w:rPr>
          <w:rFonts w:hint="eastAsia" w:ascii="仿宋_GB2312" w:hAnsi="仿宋_GB2312" w:eastAsia="仿宋_GB2312" w:cs="Times New Roman"/>
          <w:kern w:val="2"/>
          <w:sz w:val="32"/>
          <w:szCs w:val="32"/>
          <w:lang w:val="en-US" w:eastAsia="zh-CN" w:bidi="ar-SA"/>
        </w:rPr>
        <w:t>根据《中华人民共和国建筑法》《中华人民共和国安全生产法》《建设工程安全生产管理条例》等法律和行政法规，制定本标准。</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Style w:val="12"/>
          <w:rFonts w:hint="eastAsia" w:ascii="黑体" w:hAnsi="黑体" w:eastAsia="黑体" w:cs="黑体"/>
          <w:b w:val="0"/>
          <w:bCs w:val="0"/>
          <w:color w:val="auto"/>
          <w:kern w:val="0"/>
          <w:sz w:val="32"/>
          <w:szCs w:val="32"/>
          <w:lang w:val="en-US" w:eastAsia="zh-CN" w:bidi="ar-SA"/>
        </w:rPr>
        <w:t>第二条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本标准所称重大事故隐患，是指在房屋建筑和市政基础设施工程（以下简称房屋市政工程）施工过程中，存在的危害程度较大、可能导致群死群伤或造成重大经济损失的生产安全事故隐患。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第三条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Times New Roman"/>
          <w:kern w:val="2"/>
          <w:sz w:val="32"/>
          <w:szCs w:val="32"/>
          <w:lang w:val="en-US" w:eastAsia="zh-CN" w:bidi="ar-SA"/>
        </w:rPr>
        <w:t>标准适用于判定新建、扩建、改建、拆除房屋市政工程的生产安全重大事故隐患。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县级及以上人民政府住房和城乡建设主管部门和施工安全监督机构在监督检查过程中可依照本标准判定房屋市政工程生产安全重大事故隐患。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第四条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sz w:val="32"/>
          <w:szCs w:val="32"/>
          <w:lang w:val="en-US" w:eastAsia="zh-CN"/>
        </w:rPr>
        <w:t>施工安全管理有下列情形之一的，应判定为重大事故隐患：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（一）建筑施工企业未取得安全生产许可证擅自从事建筑施工活动；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（二）施工单位的主要负责人、项目负责人、专职安全生产管理人员未取得安全生产考核合格证书从事相关工作；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（三）建筑施工特种作业人员未取得特种作业人员操作资格证书上岗作业；</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（四）危险性较大的分部分项工程未编制、未审核专项施工方案，或未按规定组织专家对“超过一定规模的危险性较大的分部分项工程范围”的专项施工方案进行论证。</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基坑工程</w:t>
      </w:r>
      <w:bookmarkStart w:id="0" w:name="_Hlk67513480"/>
      <w:r>
        <w:rPr>
          <w:rFonts w:hint="eastAsia" w:ascii="仿宋_GB2312" w:hAnsi="仿宋_GB2312" w:eastAsia="仿宋_GB2312" w:cs="Times New Roman"/>
          <w:kern w:val="2"/>
          <w:sz w:val="32"/>
          <w:szCs w:val="32"/>
          <w:lang w:val="en-US" w:eastAsia="zh-CN" w:bidi="ar-SA"/>
        </w:rPr>
        <w:t>有下列情形之一的，应判定为重大事故隐患：</w:t>
      </w:r>
    </w:p>
    <w:bookmarkEnd w:id="0"/>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（一）对因基坑工程施工可能造成损害的毗邻重要建筑物、构筑物和地下管线等,未采取专项防护措施；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（二）基坑土方超挖且未采取有效措施；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（三）深基坑施工未进行第三方监测；</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（四）有下列基坑坍塌风险预兆之一，且未及时处理：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1.支护结构或周边建筑物变形值超过设计变形控制值；</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2.基坑侧壁出现大量漏水、流土；</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3.基坑底部出现管涌；</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4.桩间土流失孔洞深度超过桩径。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第六条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模板工程有下列情形之一的，应判定为重大事故隐患：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（一）模板工程的地基基础承载力和变形不满足设计要求；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（二）模板支架承受的施工荷载超过设计值;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（三）模板支架拆除及滑模、爬模爬升时，混凝土强度未达到设计或规范要求。</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第七条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脚手架工程有下列情形之一的，应判定为重大事故隐患：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（一）脚手架工程的地基基础承载力和变形不满足设计要求；</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（二）未设置连墙件或连墙件整层缺失；</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（三）附着式升降脚手架未经验收合格即投入使用；</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（四）附着式升降脚手架的防倾覆、防坠落或同步升降控制装置不符合设计要求、失效、被人为拆除破坏；</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（五）附着式升降脚手架使用过程中架体悬臂高度大于架体高度的2/5或大于6米。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起重机械及吊装工程</w:t>
      </w:r>
      <w:bookmarkStart w:id="1" w:name="_Hlk67516607"/>
      <w:r>
        <w:rPr>
          <w:rFonts w:hint="eastAsia" w:ascii="仿宋_GB2312" w:hAnsi="仿宋_GB2312" w:eastAsia="仿宋_GB2312" w:cs="Times New Roman"/>
          <w:sz w:val="32"/>
          <w:szCs w:val="32"/>
          <w:lang w:val="en-US" w:eastAsia="zh-CN"/>
        </w:rPr>
        <w:t>有下列情形之一的，应判定为重大事故隐患：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（一）塔式起重机、施工升降机、物料提升机等起重机械设备未经验收合格即投入使用，或未按规定办理使用登记；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（二）塔式起重机独立起升高度、附着间距和最高附着以上的最大悬高及垂直度不符合规范要求；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（三）施工升降机附着间距和最高附着以上的最大悬高及垂直度不符合规范要求；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（四）起重机械安装、拆卸、顶升加节以及附着前未对结构件、顶升机构和附着装置以及高强度螺栓、销轴、定位板等连接件及安全装置进行检查；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（五）建筑起重机械的安全装置不齐全、失效或者被违规拆除、破坏；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（六）施工升降机防坠安全器超过定期检验有效期，标准节连接螺栓缺失或失效；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（七）建筑起重机械的地基基础承载力和变形不满足设计要求。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高处作业有下列情形之一的，应判定为重大事故隐患：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（一）钢结构、网架安装用支撑结构地基基础承载力和变形不满足设计要求，钢结构、网架安装用支撑结构未按设计要求设置防倾覆装置;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（二）单榀钢桁架（屋架）安装时未采取防失稳措施；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（三）悬挑式操作平台的搁置点、拉结点、支撑点未设置在稳定的主体结构上,且未做可靠连接。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施工临时用电方面，特殊作业环境（隧道、人防工程，高温、有导电灰尘、比较潮湿等作业环境）照明未按规定使用安全电压的，应判定为重大事故隐患。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第十一条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w:t>
      </w:r>
      <w:r>
        <w:rPr>
          <w:rFonts w:hint="eastAsia" w:ascii="仿宋_GB2312" w:hAnsi="仿宋_GB2312" w:eastAsia="仿宋_GB2312" w:cs="Times New Roman"/>
          <w:sz w:val="32"/>
          <w:szCs w:val="32"/>
          <w:lang w:val="en-US" w:eastAsia="zh-CN"/>
        </w:rPr>
        <w:t>限空间作业有下列情形之一的，应判定为重大事故隐患：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（一）有限空间作业未履行“作业审批制度”，未对施工人员进行专项安全教育培训,未执行“先通风、再检测、后作业”原则；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（二）有限空间作业时现场未有专人负责监护工作。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拆除工程方面，拆除施工作业顺序不符合规范和施工方案要求的，应判定为重大事故隐患。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第十三条  </w:t>
      </w:r>
      <w:r>
        <w:rPr>
          <w:rFonts w:hint="eastAsia" w:ascii="仿宋_GB2312" w:hAnsi="仿宋_GB2312" w:eastAsia="仿宋_GB2312" w:cs="Times New Roman"/>
          <w:sz w:val="32"/>
          <w:szCs w:val="32"/>
          <w:lang w:val="en-US" w:eastAsia="zh-CN"/>
        </w:rPr>
        <w:t>暗挖工程有下列情形之一的，应判定为重大事故隐患：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（一）作业面带水施工未采取相关措施，或地下水控制措施失效且继续施工；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（二）施工时出现涌水、涌沙、局部坍塌，支护结构扭曲变形或出现裂缝，且有不断增大趋势，未及时采取措施。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第十四条  </w:t>
      </w:r>
      <w:r>
        <w:rPr>
          <w:rFonts w:hint="eastAsia" w:ascii="仿宋_GB2312" w:hAnsi="仿宋_GB2312" w:eastAsia="仿宋_GB2312" w:cs="Times New Roman"/>
          <w:sz w:val="32"/>
          <w:szCs w:val="32"/>
          <w:lang w:val="en-US" w:eastAsia="zh-CN"/>
        </w:rPr>
        <w:t>使用</w:t>
      </w:r>
      <w:r>
        <w:rPr>
          <w:rFonts w:hint="eastAsia" w:ascii="仿宋_GB2312" w:hAnsi="仿宋_GB2312" w:eastAsia="仿宋_GB2312" w:cs="Times New Roman"/>
          <w:kern w:val="2"/>
          <w:sz w:val="32"/>
          <w:szCs w:val="32"/>
          <w:lang w:val="en-US" w:eastAsia="zh-CN" w:bidi="ar-SA"/>
        </w:rPr>
        <w:t>危害程度较大、可能导致群死群伤或造成重大经济损失的施工工艺、设备和材料</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第十五条  </w:t>
      </w:r>
      <w:r>
        <w:rPr>
          <w:rFonts w:hint="eastAsia" w:ascii="仿宋_GB2312" w:hAnsi="仿宋_GB2312" w:eastAsia="仿宋_GB2312" w:cs="Times New Roman"/>
          <w:sz w:val="32"/>
          <w:szCs w:val="32"/>
          <w:lang w:val="en-US" w:eastAsia="zh-CN"/>
        </w:rPr>
        <w:t>其他严重违反房屋市政工程安全生产法律法规、部门规章及强制性标准，且存在</w:t>
      </w:r>
      <w:r>
        <w:rPr>
          <w:rFonts w:hint="eastAsia" w:ascii="仿宋_GB2312" w:hAnsi="仿宋_GB2312" w:eastAsia="仿宋_GB2312" w:cs="Times New Roman"/>
          <w:kern w:val="2"/>
          <w:sz w:val="32"/>
          <w:szCs w:val="32"/>
          <w:lang w:val="en-US" w:eastAsia="zh-CN" w:bidi="ar-SA"/>
        </w:rPr>
        <w:t>危害程度较大、可能导致群死群伤或造成重大经济损失的现实危险</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第十六条  </w:t>
      </w:r>
      <w:r>
        <w:rPr>
          <w:rFonts w:hint="eastAsia" w:ascii="仿宋_GB2312" w:hAnsi="仿宋_GB2312" w:eastAsia="仿宋_GB2312" w:cs="Times New Roman"/>
          <w:sz w:val="32"/>
          <w:szCs w:val="32"/>
          <w:lang w:val="en-US" w:eastAsia="zh-CN"/>
        </w:rPr>
        <w:t>本标准自发布之日起执行。</w:t>
      </w: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00"/>
    <w:family w:val="swiss"/>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2F"/>
    <w:rsid w:val="00015691"/>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11C78"/>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DF518B9"/>
    <w:rsid w:val="0FD22189"/>
    <w:rsid w:val="13FE7091"/>
    <w:rsid w:val="1EFB1698"/>
    <w:rsid w:val="1FDF2BBA"/>
    <w:rsid w:val="28DD144F"/>
    <w:rsid w:val="3206081F"/>
    <w:rsid w:val="337940F7"/>
    <w:rsid w:val="33ED3DAC"/>
    <w:rsid w:val="36CB8568"/>
    <w:rsid w:val="37FF3627"/>
    <w:rsid w:val="38F59B23"/>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DC22D68"/>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4">
    <w:name w:val="heading 2"/>
    <w:basedOn w:val="1"/>
    <w:next w:val="1"/>
    <w:link w:val="17"/>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8"/>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apple-converted-space"/>
    <w:basedOn w:val="11"/>
    <w:qFormat/>
    <w:uiPriority w:val="0"/>
  </w:style>
  <w:style w:type="paragraph" w:styleId="16">
    <w:name w:val="List Paragraph"/>
    <w:basedOn w:val="1"/>
    <w:qFormat/>
    <w:uiPriority w:val="34"/>
    <w:pPr>
      <w:ind w:firstLine="420" w:firstLineChars="200"/>
    </w:pPr>
  </w:style>
  <w:style w:type="character" w:customStyle="1" w:styleId="17">
    <w:name w:val="标题 2 字符"/>
    <w:basedOn w:val="11"/>
    <w:link w:val="4"/>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1984</Words>
  <Characters>1993</Characters>
  <Lines>24</Lines>
  <Paragraphs>6</Paragraphs>
  <TotalTime>38</TotalTime>
  <ScaleCrop>false</ScaleCrop>
  <LinksUpToDate>false</LinksUpToDate>
  <CharactersWithSpaces>2025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2021-04-06T02:55:00Z</dcterms:created>
  <dc:creator>webuser</dc:creator>
  <cp:lastModifiedBy>玲俐</cp:lastModifiedBy>
  <cp:lastPrinted>2022-02-11T03:58:00Z</cp:lastPrinted>
  <dcterms:modified xsi:type="dcterms:W3CDTF">2023-06-06T01:39:30Z</dcterms:modified>
  <dc:title>房屋市政工程生产安全重大事故隐患判定标准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C643D6169C784D9E9282EE52EABB03F7</vt:lpwstr>
  </property>
</Properties>
</file>