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关于印发钢铁/焦化、现代煤化工、石化、火电四个行业建设项目环境影响评价文件审批原则的通知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各省、自治区、直辖市生态环境厅（局），新疆生产建设兵团生态环境局：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为加强重大项目环评审批服务保障，进一步规范建设项目环境影响评价文件审批，我部组织编制了钢铁/焦化、现代煤化工、石化、火电等四个行业建设项目环境影响评价文件审批原则，替代《关于规范火电等七个行业建设项目环境影响评价文件审批的通知》（环办〔2015〕112号）和《关于印发〈现代煤化工建设项目环境准入条件（试行）〉的通知》（环办〔2015〕111号）中的“钢铁建设项目环境影响评价文件审批原则（试行）”“现代煤化工建设项目环境准入条件（试行）”“石化建设项目环境影响评价文件审批原则（试行）”“火电建设项目环境影响评价文件审批原则（试行）”。现印发给你们，请参照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2022年12月2日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（此件社会公开）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抄送：生态环境部环境工程评估中心。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生态环境部办公厅2022年12月5日印发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instrText xml:space="preserve"> HYPERLINK "https://www.mee.gov.cn/xxgk2018/xxgk/xxgk05/202212/W020221214525455774975.pdf"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钢铁/焦化建设项目环境影响评价文件审批原则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instrText xml:space="preserve"> HYPERLINK "https://www.mee.gov.cn/xxgk2018/xxgk/xxgk05/202212/W020221214525456569121.pdf"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现代煤化工建设项目环境影响评价文件审批原则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instrText xml:space="preserve"> HYPERLINK "https://www.mee.gov.cn/xxgk2018/xxgk/xxgk05/202212/W020221214525457222358.pdf"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石化建设项目环境影响评价文件审批原则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4.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instrText xml:space="preserve"> HYPERLINK "https://www.mee.gov.cn/xxgk2018/xxgk/xxgk05/202212/W020221214525457721172.pdf"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火电建设项目环境影响评价文件审批原则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TU4ZjU3MDJmYTE0YTBjMGQ2ZjcxMzI2OGZkNzIifQ=="/>
  </w:docVars>
  <w:rsids>
    <w:rsidRoot w:val="49261157"/>
    <w:rsid w:val="4926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511</Characters>
  <Lines>0</Lines>
  <Paragraphs>0</Paragraphs>
  <TotalTime>2</TotalTime>
  <ScaleCrop>false</ScaleCrop>
  <LinksUpToDate>false</LinksUpToDate>
  <CharactersWithSpaces>533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2022-12-30T01:47:00Z</dcterms:created>
  <dc:creator>monkeyhappy</dc:creator>
  <cp:lastModifiedBy>monkeyhappy</cp:lastModifiedBy>
  <dcterms:modified xsi:type="dcterms:W3CDTF">2022-12-30T01:50:04Z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83707F14F0BA46E89B80F7E45C4AA5BE</vt:lpwstr>
  </property>
</Properties>
</file>