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ascii="Calibri" w:hAnsi="Calibri" w:cs="Calibri"/>
          <w:i w:val="0"/>
          <w:iCs w:val="0"/>
          <w:caps w:val="0"/>
          <w:color w:val="444444"/>
          <w:spacing w:val="0"/>
          <w:sz w:val="21"/>
          <w:szCs w:val="21"/>
        </w:rPr>
      </w:pPr>
      <w:r>
        <w:rPr>
          <w:rFonts w:hint="eastAsia" w:ascii="宋体" w:hAnsi="宋体" w:eastAsia="宋体" w:cs="宋体"/>
          <w:b/>
          <w:bCs/>
          <w:i w:val="0"/>
          <w:iCs w:val="0"/>
          <w:caps w:val="0"/>
          <w:color w:val="444444"/>
          <w:spacing w:val="0"/>
          <w:kern w:val="0"/>
          <w:sz w:val="44"/>
          <w:szCs w:val="44"/>
          <w:shd w:val="clear" w:fill="FFFFFF"/>
          <w:lang w:val="en-US" w:eastAsia="zh-CN" w:bidi="ar"/>
        </w:rPr>
        <w:t>应急管理部重点实验室考核评估细则（试行）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444444"/>
          <w:spacing w:val="0"/>
          <w:sz w:val="21"/>
          <w:szCs w:val="21"/>
        </w:rPr>
      </w:pPr>
      <w:r>
        <w:rPr>
          <w:rFonts w:hint="eastAsia" w:ascii="宋体" w:hAnsi="宋体" w:eastAsia="宋体" w:cs="宋体"/>
          <w:i w:val="0"/>
          <w:iCs w:val="0"/>
          <w:caps w:val="0"/>
          <w:color w:val="444444"/>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第一条 为加强对应急管理部重点实验室的运行管理，规范重点实验室考核评估工作，根据《应急管理部重点实验室管理办法（试行）》（应急厅〔2020〕28号），制定本细则。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第二条 考核评估的主要目的是全面了解和检查重点实验室在安全生产、防灾减灾救灾和应急救援基础理论、关键技术和先进装备等方面取得的科研成果以及支撑服务应急管理实战需求取得的成效，总结经验、发现问题，加强业务引导，促进重点实验室良性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第三条 考核评估工作坚持高标准、严要求，突出应急管理实战支撑导向，依据考核评估结果对重点实验室进行动态调整。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第四条 考核评估工作包括年度评估与定期考核，对象为所有正式挂牌纳入运行序列的重点实验室。对重点实验室每年进行一次评估，每两年进行一次考核。定期考核可根据实际情况，按照重点实验室业务领域分批次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第二章 职责分工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第五条 应急管理部科技和信息化司负责牵头组织成立考核评估专家组并开展考核评估工作。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第六条 国家矿山安全监察局、中国地震局、消防救援局、森林消防局、部机关业务司局（以下统称业务单位）负责推荐专家并参与各自业务领域内重点实验室考核评估工作。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第七条 考核评估专家组按照重点实验室考核评估细则具体开展考核评估工作，并对考核评估结果的真实性、客观性和公正性负责。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第八条 依托单位负责开展重点实验室年度自评估工作，审核提交重点实验室年度评估与定期考核材料，配合开展重点实验室考核评估工作。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第三章 年度评估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第九条 年度评估重点检查重点实验室年度目标完成情况、当年度取得的重要研究成果和支撑服务应急管理业务的情况。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第十条 每年1月底前，重点实验室编制完成上年度报告，由依托单位进行审核并开展自评估。年度报告经依托单位内部公示后报科技和信息化司备案。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第十一条 科技和信息化司会同有关业务单位组织专家对重点实验室年度报告进行复核，提出年度评估结果建议报部领导审定后反馈各重点实验室。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第四章 定期考核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第十二条 定期考核重点检查重点实验室在两年考核周期内的整体运行情况与成效，从研究水平、业务贡献、基础建设与人才培养、开放交流与运行管理等维度进行综合考评。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第十三条 正式运行满两年的重点实验室必须参加考核。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第十四条 科技和信息化司在每年6月底前研究形成当年度考核方案，报部领导审定后通知重点实验室依托单位。收到考核通知两个月内，依托单位组织重点实验室编制工作总结报告，经内部公示后提交科技和信息化司。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第十五条 科技和信息化司会同有关业务单位组织成立考核专家组，一般由5～7名专家组成，包括行业专家、实战专家和管理专家，其中行业专家和实战专家不少于总人数的2/3。考核专家组严格执行回避制度，与重点实验室有直接利害关系者不得作为专家参加考核工作。同一业务领域的重点实验室原则上由同一个专家组进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第十六条 定期考核一般采用现场考核的方式。考核专家组在听取重点实验室工作汇报、审核重点实验室工作总结报告、查看实际运行情况后，按照考核指标体系进行打分，形成专家考核意见。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第十七条 同一业务领域所有重点实验室考核结束后，科技和信息化司会同有关业务单位在专家考核意见的基础上形成定期考核报告并提出定期考核等次建议，报部领导审定后对外公布。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第五章 考核评估结果与应用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第十八条 重点实验室年度评估为定性评价，评估结果不设等次。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第十九条 应急管理部对在年度评估过程中弄虚作假或经评估未完成年度目标以及未发挥业务支撑作用的重点实验室予以通报，连续被通报两次的直接移出重点实验室运行序列。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第二十条 重点实验室定期考核结果分为优秀、良好、整改和未通过四个等次。其中，得分超过90分且排名在前20％的为优秀，得分低于70分的为整改，其余为良好，出现以下情况之一的为未通过：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（一）无正当理由不参加考核或中途退出考核。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（二）考核过程中弄虚作假提供不实材料。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（三）扰乱考核秩序，出现可能影响考核公平公正的行为。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第二十一条 应急管理部根据定期考核结果对重点实验室进行动态调整。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一）定期考核结果为优秀的重点实验室，在科研立项、重点实验室建设等方面给予重点支持，并优先推荐申报国家级重点实验室。连续两次考核结果为优秀的重点实验室，可申请不参加下一轮考核，结果视为良好；连续三次考核结果为优秀的重点实验室，可申请不参加下一轮考核，结果视为优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（二）定期考核结果为良好的重点实验室，在科研立项、重点实验室建设等方面给予一定支持。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（三）定期考核结果为整改的重点实验室，限期一年整改，整改不通过的移出重点实验室运行序列。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（四）定期考核结果为未通过的重点实验室，直接移出重点实验室运行序列。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第二十二条 发生重大安全事故或严重学术不端行为的，直接移出重点实验室运行序列。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第二十三条 被移出重点实验室运行序列的依托单位，五年内不得重新申报。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第二十四条 本细则自发布之日起施行。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第二十五条 本细则由应急管理部科技和信息化司负责解释。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附件：1.</w: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begin"/>
      </w:r>
      <w:r>
        <w:rPr>
          <w:rFonts w:hint="eastAsia" w:ascii="宋体" w:hAnsi="宋体" w:eastAsia="宋体" w:cs="宋体"/>
          <w:i w:val="0"/>
          <w:iCs w:val="0"/>
          <w:caps w:val="0"/>
          <w:color w:val="444444"/>
          <w:spacing w:val="0"/>
          <w:kern w:val="0"/>
          <w:sz w:val="28"/>
          <w:szCs w:val="28"/>
          <w:u w:val="none"/>
          <w:shd w:val="clear" w:fill="FFFFFF"/>
          <w:lang w:val="en-US" w:eastAsia="zh-CN" w:bidi="ar"/>
        </w:rPr>
        <w:instrText xml:space="preserve"> HYPERLINK "https://www.mem.gov.cn/gk/zfxxgkpt/fdzdgknr/202206/W020220609609584174879.wps" </w:instrTex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separate"/>
      </w:r>
      <w:r>
        <w:rPr>
          <w:rStyle w:val="4"/>
          <w:rFonts w:hint="eastAsia" w:ascii="宋体" w:hAnsi="宋体" w:eastAsia="宋体" w:cs="宋体"/>
          <w:i w:val="0"/>
          <w:iCs w:val="0"/>
          <w:caps w:val="0"/>
          <w:color w:val="444444"/>
          <w:spacing w:val="0"/>
          <w:sz w:val="28"/>
          <w:szCs w:val="28"/>
          <w:u w:val="none"/>
          <w:shd w:val="clear" w:fill="FFFFFF"/>
        </w:rPr>
        <w:t>应急管理部重点实验室年度报告（格式）</w: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5"/>
        <w:jc w:val="both"/>
        <w:rPr>
          <w:rFonts w:hint="default" w:ascii="Calibri" w:hAnsi="Calibri" w:cs="Calibri"/>
          <w:i w:val="0"/>
          <w:iCs w:val="0"/>
          <w:caps w:val="0"/>
          <w:color w:val="444444"/>
          <w:spacing w:val="0"/>
          <w:sz w:val="20"/>
          <w:szCs w:val="20"/>
        </w:rPr>
      </w:pPr>
      <w:r>
        <w:rPr>
          <w:rFonts w:hint="eastAsia" w:ascii="宋体" w:hAnsi="宋体" w:eastAsia="宋体" w:cs="宋体"/>
          <w:i w:val="0"/>
          <w:iCs w:val="0"/>
          <w:caps w:val="0"/>
          <w:color w:val="444444"/>
          <w:spacing w:val="0"/>
          <w:kern w:val="0"/>
          <w:sz w:val="28"/>
          <w:szCs w:val="28"/>
          <w:shd w:val="clear" w:fill="FFFFFF"/>
          <w:lang w:val="en-US" w:eastAsia="zh-CN" w:bidi="ar"/>
        </w:rPr>
        <w:t>   2.</w: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begin"/>
      </w:r>
      <w:r>
        <w:rPr>
          <w:rFonts w:hint="eastAsia" w:ascii="宋体" w:hAnsi="宋体" w:eastAsia="宋体" w:cs="宋体"/>
          <w:i w:val="0"/>
          <w:iCs w:val="0"/>
          <w:caps w:val="0"/>
          <w:color w:val="444444"/>
          <w:spacing w:val="0"/>
          <w:kern w:val="0"/>
          <w:sz w:val="28"/>
          <w:szCs w:val="28"/>
          <w:u w:val="none"/>
          <w:shd w:val="clear" w:fill="FFFFFF"/>
          <w:lang w:val="en-US" w:eastAsia="zh-CN" w:bidi="ar"/>
        </w:rPr>
        <w:instrText xml:space="preserve"> HYPERLINK "https://www.mem.gov.cn/gk/zfxxgkpt/fdzdgknr/202206/W020220609609584178902.wps" </w:instrTex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separate"/>
      </w:r>
      <w:r>
        <w:rPr>
          <w:rStyle w:val="4"/>
          <w:rFonts w:hint="eastAsia" w:ascii="宋体" w:hAnsi="宋体" w:eastAsia="宋体" w:cs="宋体"/>
          <w:i w:val="0"/>
          <w:iCs w:val="0"/>
          <w:caps w:val="0"/>
          <w:color w:val="444444"/>
          <w:spacing w:val="0"/>
          <w:sz w:val="28"/>
          <w:szCs w:val="28"/>
          <w:u w:val="none"/>
          <w:shd w:val="clear" w:fill="FFFFFF"/>
        </w:rPr>
        <w:t>应急管理部重点实验室考核指标体系</w:t>
      </w:r>
      <w:r>
        <w:rPr>
          <w:rFonts w:hint="eastAsia" w:ascii="宋体" w:hAnsi="宋体" w:eastAsia="宋体" w:cs="宋体"/>
          <w:i w:val="0"/>
          <w:iCs w:val="0"/>
          <w:caps w:val="0"/>
          <w:color w:val="444444"/>
          <w:spacing w:val="0"/>
          <w:kern w:val="0"/>
          <w:sz w:val="28"/>
          <w:szCs w:val="28"/>
          <w:u w:val="none"/>
          <w:shd w:val="clear" w:fill="FFFFFF"/>
          <w:lang w:val="en-US" w:eastAsia="zh-CN" w:bidi="ar"/>
        </w:rPr>
        <w:fldChar w:fldCharType="end"/>
      </w:r>
    </w:p>
    <w:p>
      <w:pPr>
        <w:widowControl/>
        <w:adjustRightInd w:val="0"/>
        <w:snapToGrid w:val="0"/>
        <w:spacing w:line="580" w:lineRule="exact"/>
        <w:rPr>
          <w:rFonts w:ascii="宋体" w:hAnsi="宋体" w:eastAsia="黑体"/>
          <w:kern w:val="0"/>
          <w:sz w:val="32"/>
          <w:szCs w:val="32"/>
        </w:rPr>
      </w:pPr>
      <w:r>
        <w:rPr>
          <w:rFonts w:hint="eastAsia" w:ascii="宋体" w:hAnsi="宋体" w:eastAsia="方正黑体_GBK"/>
          <w:kern w:val="0"/>
          <w:sz w:val="32"/>
          <w:szCs w:val="32"/>
        </w:rPr>
        <w:t>附件</w:t>
      </w:r>
      <w:r>
        <w:rPr>
          <w:rFonts w:ascii="宋体" w:hAnsi="宋体" w:eastAsia="黑体"/>
          <w:kern w:val="0"/>
          <w:sz w:val="32"/>
          <w:szCs w:val="32"/>
        </w:rPr>
        <w:t>1</w:t>
      </w:r>
    </w:p>
    <w:p>
      <w:pPr>
        <w:widowControl/>
        <w:adjustRightInd w:val="0"/>
        <w:snapToGrid w:val="0"/>
        <w:spacing w:line="580" w:lineRule="exact"/>
        <w:rPr>
          <w:rFonts w:ascii="宋体" w:hAnsi="宋体" w:eastAsia="黑体"/>
          <w:kern w:val="0"/>
          <w:sz w:val="32"/>
          <w:szCs w:val="32"/>
        </w:rPr>
      </w:pPr>
    </w:p>
    <w:p>
      <w:pPr>
        <w:widowControl/>
        <w:adjustRightInd w:val="0"/>
        <w:snapToGrid w:val="0"/>
        <w:spacing w:line="580" w:lineRule="exact"/>
        <w:rPr>
          <w:rFonts w:ascii="宋体" w:hAnsi="宋体" w:eastAsia="黑体"/>
          <w:kern w:val="0"/>
          <w:sz w:val="32"/>
          <w:szCs w:val="32"/>
        </w:rPr>
      </w:pPr>
    </w:p>
    <w:p>
      <w:pPr>
        <w:widowControl/>
        <w:adjustRightInd w:val="0"/>
        <w:snapToGrid w:val="0"/>
        <w:spacing w:line="580" w:lineRule="exact"/>
        <w:rPr>
          <w:rFonts w:ascii="宋体" w:hAnsi="宋体" w:eastAsia="黑体"/>
          <w:kern w:val="0"/>
          <w:sz w:val="32"/>
          <w:szCs w:val="32"/>
        </w:rPr>
      </w:pPr>
    </w:p>
    <w:p>
      <w:pPr>
        <w:widowControl/>
        <w:tabs>
          <w:tab w:val="center" w:pos="4153"/>
          <w:tab w:val="right" w:pos="8306"/>
        </w:tabs>
        <w:snapToGrid w:val="0"/>
        <w:spacing w:line="360" w:lineRule="auto"/>
        <w:jc w:val="center"/>
        <w:outlineLvl w:val="0"/>
        <w:rPr>
          <w:rFonts w:ascii="宋体" w:hAnsi="宋体" w:eastAsia="方正小标宋简体" w:cs="Times New Roman"/>
          <w:kern w:val="0"/>
          <w:sz w:val="44"/>
          <w:szCs w:val="44"/>
        </w:rPr>
      </w:pPr>
      <w:r>
        <w:rPr>
          <w:rFonts w:ascii="宋体" w:hAnsi="宋体" w:eastAsia="方正小标宋_GBK" w:cs="Times New Roman"/>
          <w:kern w:val="0"/>
          <w:sz w:val="44"/>
          <w:szCs w:val="44"/>
        </w:rPr>
        <w:t>应急管理部重点实验室</w:t>
      </w:r>
      <w:r>
        <w:rPr>
          <w:rFonts w:ascii="宋体" w:hAnsi="宋体" w:eastAsia="方正小标宋简体" w:cs="Times New Roman"/>
          <w:kern w:val="0"/>
          <w:sz w:val="44"/>
          <w:szCs w:val="44"/>
        </w:rPr>
        <w:t>XX</w:t>
      </w:r>
      <w:r>
        <w:rPr>
          <w:rFonts w:hint="eastAsia" w:ascii="宋体" w:hAnsi="宋体" w:eastAsia="方正小标宋_GBK" w:cs="Times New Roman"/>
          <w:kern w:val="0"/>
          <w:sz w:val="44"/>
          <w:szCs w:val="44"/>
        </w:rPr>
        <w:t>年度报告</w:t>
      </w:r>
    </w:p>
    <w:p>
      <w:pPr>
        <w:widowControl/>
        <w:tabs>
          <w:tab w:val="center" w:pos="4153"/>
          <w:tab w:val="right" w:pos="8306"/>
        </w:tabs>
        <w:snapToGrid w:val="0"/>
        <w:spacing w:line="360" w:lineRule="auto"/>
        <w:jc w:val="center"/>
        <w:outlineLvl w:val="1"/>
        <w:rPr>
          <w:rFonts w:ascii="宋体" w:hAnsi="宋体" w:eastAsia="方正楷体_GBK" w:cs="Times New Roman"/>
          <w:kern w:val="0"/>
          <w:sz w:val="30"/>
          <w:szCs w:val="30"/>
        </w:rPr>
      </w:pPr>
      <w:r>
        <w:rPr>
          <w:rFonts w:ascii="宋体" w:hAnsi="宋体" w:eastAsia="方正楷体_GBK" w:cs="Times New Roman"/>
          <w:kern w:val="0"/>
          <w:sz w:val="30"/>
          <w:szCs w:val="30"/>
        </w:rPr>
        <w:t>（格式）</w:t>
      </w:r>
    </w:p>
    <w:p>
      <w:pPr>
        <w:widowControl/>
        <w:tabs>
          <w:tab w:val="center" w:pos="4153"/>
          <w:tab w:val="right" w:pos="8306"/>
        </w:tabs>
        <w:snapToGrid w:val="0"/>
        <w:spacing w:line="360" w:lineRule="auto"/>
        <w:jc w:val="center"/>
        <w:rPr>
          <w:rFonts w:ascii="宋体" w:hAnsi="宋体" w:eastAsia="华文中宋" w:cs="Times New Roman"/>
          <w:kern w:val="0"/>
          <w:sz w:val="30"/>
          <w:szCs w:val="30"/>
        </w:rPr>
      </w:pPr>
    </w:p>
    <w:p>
      <w:pPr>
        <w:widowControl/>
        <w:tabs>
          <w:tab w:val="center" w:pos="4153"/>
          <w:tab w:val="right" w:pos="8306"/>
        </w:tabs>
        <w:snapToGrid w:val="0"/>
        <w:spacing w:line="360" w:lineRule="auto"/>
        <w:jc w:val="left"/>
        <w:rPr>
          <w:rFonts w:ascii="宋体" w:hAnsi="宋体" w:eastAsia="仿宋_GB2312" w:cs="Times New Roman"/>
          <w:kern w:val="0"/>
          <w:sz w:val="30"/>
          <w:szCs w:val="30"/>
        </w:rPr>
      </w:pPr>
    </w:p>
    <w:p>
      <w:pPr>
        <w:widowControl/>
        <w:tabs>
          <w:tab w:val="center" w:pos="4153"/>
          <w:tab w:val="right" w:pos="8306"/>
        </w:tabs>
        <w:snapToGrid w:val="0"/>
        <w:spacing w:line="560" w:lineRule="exact"/>
        <w:ind w:firstLine="900" w:firstLineChars="300"/>
        <w:jc w:val="left"/>
        <w:outlineLvl w:val="1"/>
        <w:rPr>
          <w:rFonts w:ascii="宋体" w:hAnsi="宋体" w:eastAsia="方正黑体_GBK" w:cs="Times New Roman"/>
          <w:kern w:val="0"/>
          <w:sz w:val="30"/>
          <w:szCs w:val="30"/>
          <w:u w:val="single"/>
        </w:rPr>
      </w:pPr>
      <w:r>
        <w:rPr>
          <w:rFonts w:ascii="宋体" w:hAnsi="宋体" w:eastAsia="方正黑体_GBK" w:cs="Times New Roman"/>
          <w:kern w:val="0"/>
          <w:sz w:val="30"/>
          <w:szCs w:val="30"/>
        </w:rPr>
        <w:t>实验室名称：</w:t>
      </w:r>
      <w:r>
        <w:rPr>
          <w:rFonts w:ascii="宋体" w:hAnsi="宋体" w:eastAsia="方正黑体_GBK"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rPr>
      </w:pPr>
      <w:r>
        <w:rPr>
          <w:rFonts w:ascii="宋体" w:hAnsi="宋体" w:eastAsia="方正黑体_GBK" w:cs="Times New Roman"/>
          <w:kern w:val="0"/>
          <w:sz w:val="30"/>
          <w:szCs w:val="30"/>
        </w:rPr>
        <w:t>依托单位：</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u w:val="single"/>
        </w:rPr>
      </w:pPr>
      <w:r>
        <w:rPr>
          <w:rFonts w:ascii="宋体" w:hAnsi="宋体" w:eastAsia="方正黑体_GBK" w:cs="Times New Roman"/>
          <w:kern w:val="0"/>
          <w:sz w:val="30"/>
          <w:szCs w:val="30"/>
        </w:rPr>
        <w:t>通讯地址：</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u w:val="single"/>
        </w:rPr>
      </w:pPr>
      <w:r>
        <w:rPr>
          <w:rFonts w:ascii="宋体" w:hAnsi="宋体" w:eastAsia="方正黑体_GBK" w:cs="Times New Roman"/>
          <w:kern w:val="0"/>
          <w:sz w:val="30"/>
          <w:szCs w:val="30"/>
        </w:rPr>
        <w:t>邮政编码：</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u w:val="single"/>
        </w:rPr>
      </w:pPr>
      <w:r>
        <w:rPr>
          <w:rFonts w:ascii="宋体" w:hAnsi="宋体" w:eastAsia="方正黑体_GBK" w:cs="Times New Roman"/>
          <w:kern w:val="0"/>
          <w:sz w:val="30"/>
          <w:szCs w:val="30"/>
        </w:rPr>
        <w:t>联 系 人：</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rPr>
      </w:pPr>
      <w:r>
        <w:rPr>
          <w:rFonts w:ascii="宋体" w:hAnsi="宋体" w:eastAsia="方正黑体_GBK" w:cs="Times New Roman"/>
          <w:kern w:val="0"/>
          <w:sz w:val="30"/>
          <w:szCs w:val="30"/>
        </w:rPr>
        <w:t>手    机：</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rPr>
      </w:pPr>
      <w:r>
        <w:rPr>
          <w:rFonts w:ascii="宋体" w:hAnsi="宋体" w:eastAsia="方正黑体_GBK" w:cs="Times New Roman"/>
          <w:kern w:val="0"/>
          <w:sz w:val="30"/>
          <w:szCs w:val="30"/>
        </w:rPr>
        <w:t>传    真：</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sz w:val="30"/>
          <w:szCs w:val="30"/>
          <w:u w:val="single"/>
        </w:rPr>
      </w:pPr>
      <w:r>
        <w:rPr>
          <w:rFonts w:ascii="宋体" w:hAnsi="宋体" w:eastAsia="方正黑体_GBK" w:cs="Times New Roman"/>
          <w:kern w:val="0"/>
          <w:sz w:val="30"/>
          <w:szCs w:val="30"/>
        </w:rPr>
        <w:t>电子邮件：</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560" w:lineRule="exact"/>
        <w:ind w:firstLine="900" w:firstLineChars="300"/>
        <w:jc w:val="left"/>
        <w:outlineLvl w:val="1"/>
        <w:rPr>
          <w:rFonts w:ascii="宋体" w:hAnsi="宋体" w:eastAsia="黑体" w:cs="Times New Roman"/>
          <w:kern w:val="0"/>
          <w:sz w:val="30"/>
          <w:szCs w:val="30"/>
          <w:u w:val="single"/>
        </w:rPr>
      </w:pPr>
      <w:r>
        <w:rPr>
          <w:rFonts w:hint="eastAsia" w:ascii="宋体" w:hAnsi="宋体" w:eastAsia="方正黑体_GBK" w:cs="Times New Roman"/>
          <w:kern w:val="0"/>
          <w:sz w:val="30"/>
          <w:szCs w:val="30"/>
        </w:rPr>
        <w:t>报送时间</w:t>
      </w:r>
      <w:r>
        <w:rPr>
          <w:rFonts w:ascii="宋体" w:hAnsi="宋体" w:eastAsia="方正黑体_GBK" w:cs="Times New Roman"/>
          <w:kern w:val="0"/>
          <w:sz w:val="30"/>
          <w:szCs w:val="30"/>
        </w:rPr>
        <w:t>：</w:t>
      </w:r>
      <w:r>
        <w:rPr>
          <w:rFonts w:ascii="宋体" w:hAnsi="宋体" w:eastAsia="黑体" w:cs="Times New Roman"/>
          <w:kern w:val="0"/>
          <w:sz w:val="30"/>
          <w:szCs w:val="30"/>
        </w:rPr>
        <w:t xml:space="preserve">  </w:t>
      </w:r>
      <w:r>
        <w:rPr>
          <w:rFonts w:ascii="宋体" w:hAnsi="宋体" w:eastAsia="黑体" w:cs="Times New Roman"/>
          <w:sz w:val="30"/>
          <w:szCs w:val="30"/>
          <w:u w:val="single"/>
        </w:rPr>
        <w:t xml:space="preserve">                            </w:t>
      </w:r>
    </w:p>
    <w:p>
      <w:pPr>
        <w:widowControl/>
        <w:tabs>
          <w:tab w:val="center" w:pos="4153"/>
          <w:tab w:val="right" w:pos="8306"/>
        </w:tabs>
        <w:snapToGrid w:val="0"/>
        <w:spacing w:line="440" w:lineRule="exact"/>
        <w:jc w:val="left"/>
        <w:rPr>
          <w:rFonts w:ascii="宋体" w:hAnsi="宋体" w:eastAsia="Times New Roman" w:cs="Times New Roman"/>
          <w:kern w:val="0"/>
          <w:sz w:val="30"/>
          <w:szCs w:val="30"/>
        </w:rPr>
        <w:sectPr>
          <w:pgSz w:w="11906" w:h="16838"/>
          <w:pgMar w:top="1440" w:right="1800" w:bottom="1440" w:left="1800" w:header="851" w:footer="992" w:gutter="0"/>
          <w:cols w:space="720" w:num="1"/>
          <w:docGrid w:type="lines" w:linePitch="312" w:charSpace="0"/>
        </w:sectPr>
      </w:pPr>
    </w:p>
    <w:p>
      <w:pPr>
        <w:widowControl/>
        <w:tabs>
          <w:tab w:val="center" w:pos="4153"/>
          <w:tab w:val="right" w:pos="8306"/>
        </w:tabs>
        <w:snapToGrid w:val="0"/>
        <w:spacing w:line="540" w:lineRule="exact"/>
        <w:jc w:val="center"/>
        <w:outlineLvl w:val="0"/>
        <w:rPr>
          <w:rFonts w:ascii="宋体" w:hAnsi="宋体" w:eastAsia="方正小标宋_GBK" w:cs="Times New Roman"/>
          <w:kern w:val="0"/>
          <w:sz w:val="44"/>
          <w:szCs w:val="44"/>
        </w:rPr>
      </w:pPr>
      <w:r>
        <w:rPr>
          <w:rFonts w:hint="eastAsia" w:ascii="宋体" w:hAnsi="宋体" w:eastAsia="方正小标宋_GBK" w:cs="Times New Roman"/>
          <w:kern w:val="0"/>
          <w:sz w:val="44"/>
          <w:szCs w:val="44"/>
        </w:rPr>
        <w:t>内容提纲</w:t>
      </w:r>
    </w:p>
    <w:p>
      <w:pPr>
        <w:widowControl/>
        <w:tabs>
          <w:tab w:val="center" w:pos="4153"/>
          <w:tab w:val="right" w:pos="8306"/>
        </w:tabs>
        <w:adjustRightInd w:val="0"/>
        <w:snapToGrid w:val="0"/>
        <w:spacing w:line="540" w:lineRule="exact"/>
        <w:jc w:val="left"/>
        <w:rPr>
          <w:rFonts w:ascii="宋体" w:hAnsi="宋体" w:eastAsia="仿宋_GB2312" w:cs="Times New Roman"/>
          <w:kern w:val="0"/>
          <w:sz w:val="32"/>
          <w:szCs w:val="32"/>
        </w:rPr>
      </w:pP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一、重点实验室年度目标及完成情况</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（阐述年度各目标及完成情况，分为完成、基本完成和未完成三种类型，</w:t>
      </w:r>
      <w:r>
        <w:rPr>
          <w:rFonts w:ascii="宋体" w:hAnsi="宋体" w:eastAsia="方正仿宋_GBK" w:cs="Times New Roman"/>
          <w:kern w:val="0"/>
          <w:sz w:val="32"/>
          <w:szCs w:val="32"/>
        </w:rPr>
        <w:t>500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二、重点实验室主要成果</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（为解决应急管理痛点难点问题而产出的重要科研成果，如新技术、新方法、新装备、新工具等，按重要性排序，</w:t>
      </w:r>
      <w:r>
        <w:rPr>
          <w:rFonts w:ascii="宋体" w:hAnsi="宋体" w:eastAsia="方正仿宋_GBK" w:cs="Times New Roman"/>
          <w:kern w:val="0"/>
          <w:sz w:val="32"/>
          <w:szCs w:val="32"/>
        </w:rPr>
        <w:t>3000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三、应急管理业务贡献</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（为国家矿山安全监察局、中国地震局、消防救援局、森林消防局、部机关司局、省级应急管理部门提供的支撑服务情况，如灾害事故现场处置、咨询报告、法规标准、政策文件等，提供具体案例，</w:t>
      </w:r>
      <w:r>
        <w:rPr>
          <w:rFonts w:ascii="宋体" w:hAnsi="宋体" w:eastAsia="方正仿宋_GBK" w:cs="Times New Roman"/>
          <w:kern w:val="0"/>
          <w:sz w:val="32"/>
          <w:szCs w:val="32"/>
        </w:rPr>
        <w:t>3000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四、科研条件建设情况</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1000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五、队伍建设与人才培养情况</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1000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六、下一年度目标</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500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七、其他需要说明的情况</w:t>
      </w:r>
    </w:p>
    <w:p>
      <w:pPr>
        <w:widowControl/>
        <w:tabs>
          <w:tab w:val="center" w:pos="4153"/>
          <w:tab w:val="right" w:pos="8306"/>
        </w:tabs>
        <w:adjustRightInd w:val="0"/>
        <w:snapToGrid w:val="0"/>
        <w:spacing w:line="540" w:lineRule="exact"/>
        <w:ind w:firstLine="640" w:firstLineChars="200"/>
        <w:jc w:val="left"/>
        <w:rPr>
          <w:rFonts w:ascii="宋体" w:hAnsi="宋体" w:eastAsia="方正仿宋_GBK" w:cs="Times New Roman"/>
          <w:kern w:val="0"/>
          <w:sz w:val="32"/>
          <w:szCs w:val="32"/>
        </w:rPr>
      </w:pPr>
      <w:r>
        <w:rPr>
          <w:rFonts w:hint="eastAsia" w:ascii="宋体" w:hAnsi="宋体" w:eastAsia="方正仿宋_GBK" w:cs="Times New Roman"/>
          <w:kern w:val="0"/>
          <w:sz w:val="32"/>
          <w:szCs w:val="32"/>
        </w:rPr>
        <w:t>（</w:t>
      </w:r>
      <w:r>
        <w:rPr>
          <w:rFonts w:ascii="宋体" w:hAnsi="宋体" w:eastAsia="方正仿宋_GBK" w:cs="Times New Roman"/>
          <w:kern w:val="0"/>
          <w:sz w:val="32"/>
          <w:szCs w:val="32"/>
        </w:rPr>
        <w:t>500</w:t>
      </w:r>
      <w:r>
        <w:rPr>
          <w:rFonts w:hint="eastAsia" w:ascii="宋体" w:hAnsi="宋体" w:eastAsia="方正仿宋_GBK" w:cs="Times New Roman"/>
          <w:kern w:val="0"/>
          <w:sz w:val="32"/>
          <w:szCs w:val="32"/>
        </w:rPr>
        <w:t>字以内）</w:t>
      </w:r>
    </w:p>
    <w:p>
      <w:pPr>
        <w:widowControl/>
        <w:tabs>
          <w:tab w:val="center" w:pos="4153"/>
          <w:tab w:val="right" w:pos="8306"/>
        </w:tabs>
        <w:adjustRightInd w:val="0"/>
        <w:snapToGrid w:val="0"/>
        <w:spacing w:line="540" w:lineRule="exact"/>
        <w:ind w:firstLine="640" w:firstLineChars="200"/>
        <w:jc w:val="left"/>
        <w:outlineLvl w:val="0"/>
        <w:rPr>
          <w:rFonts w:ascii="宋体" w:hAnsi="宋体" w:eastAsia="方正黑体_GBK" w:cs="Times New Roman"/>
          <w:kern w:val="0"/>
          <w:sz w:val="32"/>
          <w:szCs w:val="32"/>
        </w:rPr>
      </w:pPr>
      <w:r>
        <w:rPr>
          <w:rFonts w:hint="eastAsia" w:ascii="宋体" w:hAnsi="宋体" w:eastAsia="方正黑体_GBK" w:cs="Times New Roman"/>
          <w:kern w:val="0"/>
          <w:sz w:val="32"/>
          <w:szCs w:val="32"/>
        </w:rPr>
        <w:t>八、依托单位审核意见与自评估结果</w:t>
      </w:r>
    </w:p>
    <w:p>
      <w:pPr>
        <w:widowControl/>
        <w:tabs>
          <w:tab w:val="center" w:pos="4153"/>
          <w:tab w:val="right" w:pos="8306"/>
        </w:tabs>
        <w:adjustRightInd w:val="0"/>
        <w:snapToGrid w:val="0"/>
        <w:spacing w:line="540" w:lineRule="exact"/>
        <w:ind w:firstLine="640" w:firstLineChars="200"/>
        <w:jc w:val="left"/>
      </w:pPr>
      <w:r>
        <w:rPr>
          <w:rFonts w:hint="eastAsia" w:ascii="宋体" w:hAnsi="宋体" w:eastAsia="方正仿宋_GBK" w:cs="Times New Roman"/>
          <w:kern w:val="0"/>
          <w:sz w:val="32"/>
          <w:szCs w:val="32"/>
        </w:rPr>
        <w:t>（依托单位给出审核意见和自评估结果，</w:t>
      </w:r>
      <w:r>
        <w:rPr>
          <w:rFonts w:ascii="宋体" w:hAnsi="宋体" w:eastAsia="方正仿宋_GBK" w:cs="Times New Roman"/>
          <w:kern w:val="0"/>
          <w:sz w:val="32"/>
          <w:szCs w:val="32"/>
        </w:rPr>
        <w:t>500</w:t>
      </w:r>
      <w:r>
        <w:rPr>
          <w:rFonts w:hint="eastAsia" w:ascii="宋体" w:hAnsi="宋体" w:eastAsia="方正仿宋_GBK" w:cs="Times New Roman"/>
          <w:kern w:val="0"/>
          <w:sz w:val="32"/>
          <w:szCs w:val="32"/>
        </w:rPr>
        <w:t>字以内）</w:t>
      </w:r>
    </w:p>
    <w:p/>
    <w:p>
      <w:pPr>
        <w:sectPr>
          <w:pgSz w:w="11906" w:h="16838"/>
          <w:pgMar w:top="1440" w:right="1800" w:bottom="1440" w:left="1800" w:header="851" w:footer="992" w:gutter="0"/>
          <w:cols w:space="425" w:num="1"/>
          <w:docGrid w:type="lines" w:linePitch="312" w:charSpace="0"/>
        </w:sectPr>
      </w:pPr>
      <w:bookmarkStart w:id="0" w:name="_GoBack"/>
      <w:bookmarkEnd w:id="0"/>
    </w:p>
    <w:p/>
    <w:p>
      <w:pPr>
        <w:spacing w:line="560" w:lineRule="exact"/>
        <w:rPr>
          <w:rFonts w:ascii="宋体" w:hAnsi="宋体" w:eastAsia="方正黑体_GBK"/>
          <w:sz w:val="32"/>
          <w:szCs w:val="32"/>
        </w:rPr>
      </w:pPr>
      <w:r>
        <w:rPr>
          <w:rFonts w:hint="eastAsia" w:ascii="宋体" w:hAnsi="宋体" w:eastAsia="方正黑体_GBK"/>
          <w:sz w:val="32"/>
          <w:szCs w:val="32"/>
        </w:rPr>
        <w:t>附件</w:t>
      </w:r>
      <w:r>
        <w:rPr>
          <w:rFonts w:ascii="宋体" w:hAnsi="宋体" w:eastAsia="方正黑体_GBK"/>
          <w:sz w:val="32"/>
          <w:szCs w:val="32"/>
        </w:rPr>
        <w:t>2</w:t>
      </w:r>
    </w:p>
    <w:p>
      <w:pPr>
        <w:spacing w:after="156" w:afterLines="50" w:line="460" w:lineRule="exact"/>
        <w:jc w:val="center"/>
        <w:outlineLvl w:val="0"/>
        <w:rPr>
          <w:rFonts w:ascii="宋体" w:hAnsi="宋体" w:eastAsia="方正小标宋_GBK" w:cs="方正小标宋简体"/>
          <w:sz w:val="44"/>
          <w:szCs w:val="44"/>
        </w:rPr>
      </w:pPr>
      <w:r>
        <w:rPr>
          <w:rFonts w:hint="eastAsia" w:ascii="宋体" w:hAnsi="宋体" w:eastAsia="方正小标宋_GBK" w:cs="方正小标宋简体"/>
          <w:sz w:val="44"/>
          <w:szCs w:val="44"/>
        </w:rPr>
        <w:t>应急管理部重点实验室考核指标体系</w:t>
      </w:r>
    </w:p>
    <w:tbl>
      <w:tblPr>
        <w:tblStyle w:val="2"/>
        <w:tblW w:w="1424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57" w:type="dxa"/>
          <w:bottom w:w="0" w:type="dxa"/>
          <w:right w:w="57" w:type="dxa"/>
        </w:tblCellMar>
      </w:tblPr>
      <w:tblGrid>
        <w:gridCol w:w="1585"/>
        <w:gridCol w:w="1843"/>
        <w:gridCol w:w="5223"/>
        <w:gridCol w:w="55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45" w:hRule="atLeast"/>
          <w:jc w:val="center"/>
        </w:trPr>
        <w:tc>
          <w:tcPr>
            <w:tcW w:w="1585" w:type="dxa"/>
            <w:noWrap w:val="0"/>
            <w:vAlign w:val="center"/>
          </w:tcPr>
          <w:p>
            <w:pPr>
              <w:overflowPunct w:val="0"/>
              <w:topLinePunct/>
              <w:autoSpaceDE w:val="0"/>
              <w:adjustRightInd w:val="0"/>
              <w:snapToGrid w:val="0"/>
              <w:spacing w:line="240" w:lineRule="atLeast"/>
              <w:jc w:val="center"/>
              <w:rPr>
                <w:rFonts w:ascii="宋体" w:hAnsi="宋体" w:eastAsia="方正黑体_GBK" w:cs="黑体"/>
                <w:sz w:val="28"/>
                <w:szCs w:val="30"/>
              </w:rPr>
            </w:pPr>
            <w:r>
              <w:rPr>
                <w:rFonts w:hint="eastAsia" w:ascii="宋体" w:hAnsi="宋体" w:eastAsia="方正黑体_GBK" w:cs="黑体"/>
                <w:sz w:val="28"/>
                <w:szCs w:val="30"/>
              </w:rPr>
              <w:t>一级指标</w:t>
            </w: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黑体_GBK" w:cs="黑体"/>
                <w:sz w:val="28"/>
                <w:szCs w:val="30"/>
              </w:rPr>
            </w:pPr>
            <w:r>
              <w:rPr>
                <w:rFonts w:hint="eastAsia" w:ascii="宋体" w:hAnsi="宋体" w:eastAsia="方正黑体_GBK" w:cs="黑体"/>
                <w:sz w:val="28"/>
                <w:szCs w:val="30"/>
              </w:rPr>
              <w:t>二级指标</w:t>
            </w:r>
          </w:p>
        </w:tc>
        <w:tc>
          <w:tcPr>
            <w:tcW w:w="5223" w:type="dxa"/>
            <w:noWrap w:val="0"/>
            <w:vAlign w:val="center"/>
          </w:tcPr>
          <w:p>
            <w:pPr>
              <w:overflowPunct w:val="0"/>
              <w:topLinePunct/>
              <w:autoSpaceDE w:val="0"/>
              <w:adjustRightInd w:val="0"/>
              <w:snapToGrid w:val="0"/>
              <w:spacing w:line="240" w:lineRule="atLeast"/>
              <w:jc w:val="center"/>
              <w:rPr>
                <w:rFonts w:ascii="宋体" w:hAnsi="宋体" w:eastAsia="方正黑体_GBK" w:cs="黑体"/>
                <w:sz w:val="28"/>
                <w:szCs w:val="30"/>
              </w:rPr>
            </w:pPr>
            <w:r>
              <w:rPr>
                <w:rFonts w:hint="eastAsia" w:ascii="宋体" w:hAnsi="宋体" w:eastAsia="方正黑体_GBK" w:cs="黑体"/>
                <w:sz w:val="28"/>
                <w:szCs w:val="30"/>
              </w:rPr>
              <w:t>指标释义</w:t>
            </w:r>
          </w:p>
        </w:tc>
        <w:tc>
          <w:tcPr>
            <w:tcW w:w="5598" w:type="dxa"/>
            <w:noWrap w:val="0"/>
            <w:vAlign w:val="center"/>
          </w:tcPr>
          <w:p>
            <w:pPr>
              <w:overflowPunct w:val="0"/>
              <w:topLinePunct/>
              <w:autoSpaceDE w:val="0"/>
              <w:adjustRightInd w:val="0"/>
              <w:snapToGrid w:val="0"/>
              <w:spacing w:line="240" w:lineRule="atLeast"/>
              <w:jc w:val="center"/>
              <w:rPr>
                <w:rFonts w:ascii="宋体" w:hAnsi="宋体" w:eastAsia="方正黑体_GBK" w:cs="黑体"/>
                <w:sz w:val="28"/>
                <w:szCs w:val="30"/>
              </w:rPr>
            </w:pPr>
            <w:r>
              <w:rPr>
                <w:rFonts w:hint="eastAsia" w:ascii="宋体" w:hAnsi="宋体" w:eastAsia="方正黑体_GBK" w:cs="黑体"/>
                <w:sz w:val="28"/>
                <w:szCs w:val="30"/>
              </w:rPr>
              <w:t>得分标准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restart"/>
            <w:noWrap w:val="0"/>
            <w:vAlign w:val="center"/>
          </w:tcPr>
          <w:p>
            <w:pPr>
              <w:adjustRightInd w:val="0"/>
              <w:snapToGrid w:val="0"/>
              <w:jc w:val="center"/>
              <w:rPr>
                <w:rFonts w:ascii="宋体" w:hAnsi="宋体" w:eastAsia="方正仿宋_GBK" w:cs="Arial"/>
                <w:color w:val="000000"/>
                <w:sz w:val="28"/>
                <w:szCs w:val="28"/>
              </w:rPr>
            </w:pPr>
            <w:r>
              <w:rPr>
                <w:rFonts w:ascii="宋体" w:hAnsi="宋体" w:eastAsia="方正仿宋_GBK" w:cs="Arial"/>
                <w:color w:val="000000"/>
                <w:sz w:val="28"/>
                <w:szCs w:val="28"/>
              </w:rPr>
              <w:t>研究水平</w:t>
            </w:r>
          </w:p>
          <w:p>
            <w:pPr>
              <w:adjustRightInd w:val="0"/>
              <w:snapToGrid w:val="0"/>
              <w:jc w:val="center"/>
              <w:rPr>
                <w:rFonts w:ascii="宋体" w:hAnsi="宋体" w:eastAsia="方正仿宋_GBK" w:cs="Arial"/>
                <w:color w:val="000000"/>
                <w:sz w:val="28"/>
                <w:szCs w:val="28"/>
              </w:rPr>
            </w:pPr>
            <w:r>
              <w:rPr>
                <w:rFonts w:hint="eastAsia" w:ascii="宋体" w:hAnsi="宋体" w:eastAsia="方正仿宋_GBK" w:cs="Arial"/>
                <w:color w:val="000000"/>
                <w:sz w:val="28"/>
                <w:szCs w:val="28"/>
              </w:rPr>
              <w:t>（</w:t>
            </w:r>
            <w:r>
              <w:rPr>
                <w:rFonts w:ascii="宋体" w:hAnsi="宋体" w:eastAsia="方正仿宋_GBK" w:cs="Arial"/>
                <w:color w:val="000000"/>
                <w:sz w:val="28"/>
                <w:szCs w:val="28"/>
              </w:rPr>
              <w:t>30</w:t>
            </w:r>
            <w:r>
              <w:rPr>
                <w:rFonts w:hint="eastAsia" w:ascii="宋体" w:hAnsi="宋体" w:eastAsia="方正仿宋_GBK" w:cs="Arial"/>
                <w:color w:val="000000"/>
                <w:sz w:val="28"/>
                <w:szCs w:val="28"/>
              </w:rPr>
              <w:t>分）</w:t>
            </w: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总体定位与研究方向</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总体定位聚焦应急管理业务需求，各主要研究方向与任务书内容相符。</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3-4</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1-2</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continue"/>
            <w:noWrap w:val="0"/>
            <w:vAlign w:val="center"/>
          </w:tcPr>
          <w:p>
            <w:pPr>
              <w:adjustRightInd w:val="0"/>
              <w:snapToGrid w:val="0"/>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代表性科研成果水平及影响（</w:t>
            </w:r>
            <w:r>
              <w:rPr>
                <w:rFonts w:ascii="宋体" w:hAnsi="宋体" w:eastAsia="方正仿宋_GBK"/>
                <w:sz w:val="28"/>
                <w:szCs w:val="28"/>
              </w:rPr>
              <w:t>15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为解决应急管理痛点难点问题而产出的重要科研成果，如新技术、新方法、新装备、新工具等。</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30"/>
              </w:rPr>
              <w:t>按重要性排序，不超过</w:t>
            </w:r>
            <w:r>
              <w:rPr>
                <w:rFonts w:ascii="宋体" w:hAnsi="宋体" w:eastAsia="方正仿宋_GBK"/>
                <w:sz w:val="28"/>
                <w:szCs w:val="30"/>
              </w:rPr>
              <w:t>5</w:t>
            </w:r>
            <w:r>
              <w:rPr>
                <w:rFonts w:hint="eastAsia" w:ascii="宋体" w:hAnsi="宋体" w:eastAsia="方正仿宋_GBK"/>
                <w:sz w:val="28"/>
                <w:szCs w:val="30"/>
              </w:rPr>
              <w:t>项（牵头单位比例不低于</w:t>
            </w:r>
            <w:r>
              <w:rPr>
                <w:rFonts w:ascii="宋体" w:hAnsi="宋体" w:eastAsia="方正仿宋_GBK"/>
                <w:sz w:val="28"/>
                <w:szCs w:val="30"/>
              </w:rPr>
              <w:t>60%</w:t>
            </w:r>
            <w:r>
              <w:rPr>
                <w:rFonts w:hint="eastAsia" w:ascii="宋体" w:hAnsi="宋体" w:eastAsia="方正仿宋_GBK"/>
                <w:sz w:val="28"/>
                <w:szCs w:val="30"/>
              </w:rPr>
              <w:t>），每项科研成果按以下标准单独计分后计算总分：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3</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2</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continue"/>
            <w:noWrap w:val="0"/>
            <w:vAlign w:val="center"/>
          </w:tcPr>
          <w:p>
            <w:pPr>
              <w:adjustRightInd w:val="0"/>
              <w:snapToGrid w:val="0"/>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承担科研任务情况</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10</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承担与安全生产、防灾减灾救灾和应急救援等应急管理工作密切相关的国家级科研项目和部级科研项目情况。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国家级科研项目：牵头承担项目得</w:t>
            </w:r>
            <w:r>
              <w:rPr>
                <w:rFonts w:ascii="宋体" w:hAnsi="宋体" w:eastAsia="方正仿宋_GBK"/>
                <w:sz w:val="28"/>
                <w:szCs w:val="30"/>
              </w:rPr>
              <w:t>3</w:t>
            </w:r>
            <w:r>
              <w:rPr>
                <w:rFonts w:hint="eastAsia" w:ascii="宋体" w:hAnsi="宋体" w:eastAsia="方正仿宋_GBK"/>
                <w:sz w:val="28"/>
                <w:szCs w:val="30"/>
              </w:rPr>
              <w:t>分，牵头承担课题（任务）得</w:t>
            </w:r>
            <w:r>
              <w:rPr>
                <w:rFonts w:ascii="宋体" w:hAnsi="宋体" w:eastAsia="方正仿宋_GBK"/>
                <w:sz w:val="28"/>
                <w:szCs w:val="30"/>
              </w:rPr>
              <w:t>2</w:t>
            </w:r>
            <w:r>
              <w:rPr>
                <w:rFonts w:hint="eastAsia" w:ascii="宋体" w:hAnsi="宋体" w:eastAsia="方正仿宋_GBK"/>
                <w:sz w:val="28"/>
                <w:szCs w:val="30"/>
              </w:rPr>
              <w:t>分，参与得</w:t>
            </w:r>
            <w:r>
              <w:rPr>
                <w:rFonts w:ascii="宋体" w:hAnsi="宋体" w:eastAsia="方正仿宋_GBK"/>
                <w:sz w:val="28"/>
                <w:szCs w:val="30"/>
              </w:rPr>
              <w:t>1</w:t>
            </w:r>
            <w:r>
              <w:rPr>
                <w:rFonts w:hint="eastAsia" w:ascii="宋体" w:hAnsi="宋体" w:eastAsia="方正仿宋_GBK"/>
                <w:sz w:val="28"/>
                <w:szCs w:val="30"/>
              </w:rPr>
              <w:t>分。同一实验室不同依托单位参与同一项目研究的，不重复计分。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部级科研项目：受应急管理部委托开展的项目研究，牵头得</w:t>
            </w:r>
            <w:r>
              <w:rPr>
                <w:rFonts w:ascii="宋体" w:hAnsi="宋体" w:eastAsia="方正仿宋_GBK"/>
                <w:sz w:val="28"/>
                <w:szCs w:val="30"/>
              </w:rPr>
              <w:t>2</w:t>
            </w:r>
            <w:r>
              <w:rPr>
                <w:rFonts w:hint="eastAsia" w:ascii="宋体" w:hAnsi="宋体" w:eastAsia="方正仿宋_GBK"/>
                <w:sz w:val="28"/>
                <w:szCs w:val="30"/>
              </w:rPr>
              <w:t>分、参与得</w:t>
            </w:r>
            <w:r>
              <w:rPr>
                <w:rFonts w:ascii="宋体" w:hAnsi="宋体" w:eastAsia="方正仿宋_GBK"/>
                <w:sz w:val="28"/>
                <w:szCs w:val="30"/>
              </w:rPr>
              <w:t>1</w:t>
            </w:r>
            <w:r>
              <w:rPr>
                <w:rFonts w:hint="eastAsia" w:ascii="宋体" w:hAnsi="宋体" w:eastAsia="方正仿宋_GBK"/>
                <w:sz w:val="28"/>
                <w:szCs w:val="30"/>
              </w:rPr>
              <w:t>分。同一实验室不同依托单位参与同一项目研究的，不重复计分。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restart"/>
            <w:noWrap w:val="0"/>
            <w:vAlign w:val="center"/>
          </w:tcPr>
          <w:p>
            <w:pPr>
              <w:adjustRightInd w:val="0"/>
              <w:snapToGrid w:val="0"/>
              <w:jc w:val="center"/>
              <w:rPr>
                <w:rFonts w:ascii="宋体" w:hAnsi="宋体" w:eastAsia="方正仿宋_GBK" w:cs="Arial"/>
                <w:color w:val="000000"/>
                <w:sz w:val="28"/>
                <w:szCs w:val="28"/>
              </w:rPr>
            </w:pPr>
            <w:r>
              <w:rPr>
                <w:rFonts w:hint="eastAsia" w:ascii="宋体" w:hAnsi="宋体" w:eastAsia="方正仿宋_GBK" w:cs="Arial"/>
                <w:color w:val="000000"/>
                <w:sz w:val="28"/>
                <w:szCs w:val="28"/>
              </w:rPr>
              <w:t>业务贡献</w:t>
            </w:r>
          </w:p>
          <w:p>
            <w:pPr>
              <w:adjustRightInd w:val="0"/>
              <w:snapToGrid w:val="0"/>
              <w:jc w:val="center"/>
              <w:rPr>
                <w:rFonts w:ascii="宋体" w:hAnsi="宋体" w:eastAsia="方正仿宋_GBK" w:cs="Arial"/>
                <w:color w:val="000000"/>
                <w:sz w:val="28"/>
                <w:szCs w:val="28"/>
              </w:rPr>
            </w:pPr>
            <w:r>
              <w:rPr>
                <w:rFonts w:hint="eastAsia" w:ascii="宋体" w:hAnsi="宋体" w:eastAsia="方正仿宋_GBK" w:cs="Arial"/>
                <w:color w:val="000000"/>
                <w:sz w:val="28"/>
                <w:szCs w:val="28"/>
              </w:rPr>
              <w:t>（</w:t>
            </w:r>
            <w:r>
              <w:rPr>
                <w:rFonts w:ascii="宋体" w:hAnsi="宋体" w:eastAsia="方正仿宋_GBK" w:cs="Arial"/>
                <w:color w:val="000000"/>
                <w:sz w:val="28"/>
                <w:szCs w:val="28"/>
              </w:rPr>
              <w:t>30</w:t>
            </w:r>
            <w:r>
              <w:rPr>
                <w:rFonts w:hint="eastAsia" w:ascii="宋体" w:hAnsi="宋体" w:eastAsia="方正仿宋_GBK" w:cs="Arial"/>
                <w:color w:val="000000"/>
                <w:sz w:val="28"/>
                <w:szCs w:val="28"/>
              </w:rPr>
              <w:t>分）</w:t>
            </w: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对应急管理部的支撑服务与贡献</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15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为国家矿山安全监察局、中国地震局、消防救援局、森林消防局、部机关司局等提供的支撑服务情况，如灾害事故现场处置、咨询报告、法规标准、政策文件等。</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30"/>
              </w:rPr>
              <w:t>按重要性排序，不超过</w:t>
            </w:r>
            <w:r>
              <w:rPr>
                <w:rFonts w:ascii="宋体" w:hAnsi="宋体" w:eastAsia="方正仿宋_GBK"/>
                <w:sz w:val="28"/>
                <w:szCs w:val="30"/>
              </w:rPr>
              <w:t>5</w:t>
            </w:r>
            <w:r>
              <w:rPr>
                <w:rFonts w:hint="eastAsia" w:ascii="宋体" w:hAnsi="宋体" w:eastAsia="方正仿宋_GBK"/>
                <w:sz w:val="28"/>
                <w:szCs w:val="30"/>
              </w:rPr>
              <w:t>项（牵头单位比例不低于</w:t>
            </w:r>
            <w:r>
              <w:rPr>
                <w:rFonts w:ascii="宋体" w:hAnsi="宋体" w:eastAsia="方正仿宋_GBK"/>
                <w:sz w:val="28"/>
                <w:szCs w:val="30"/>
              </w:rPr>
              <w:t>60%</w:t>
            </w:r>
            <w:r>
              <w:rPr>
                <w:rFonts w:hint="eastAsia" w:ascii="宋体" w:hAnsi="宋体" w:eastAsia="方正仿宋_GBK"/>
                <w:sz w:val="28"/>
                <w:szCs w:val="30"/>
              </w:rPr>
              <w:t>），每项贡献按以下标准单独计分后计算总分：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3</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2</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continue"/>
            <w:noWrap w:val="0"/>
            <w:vAlign w:val="center"/>
          </w:tcPr>
          <w:p>
            <w:pPr>
              <w:adjustRightInd w:val="0"/>
              <w:snapToGrid w:val="0"/>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对省级应急管理部门的支撑服务与贡献（</w:t>
            </w:r>
            <w:r>
              <w:rPr>
                <w:rFonts w:ascii="宋体" w:hAnsi="宋体" w:eastAsia="方正仿宋_GBK"/>
                <w:sz w:val="28"/>
                <w:szCs w:val="28"/>
              </w:rPr>
              <w:t>10</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为省级应急管理部门提供的支撑服务情况，如灾害事故现场处置、咨询报告、法规标准、政策文件等。</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30"/>
              </w:rPr>
              <w:t>按重要性排序，不超过</w:t>
            </w:r>
            <w:r>
              <w:rPr>
                <w:rFonts w:ascii="宋体" w:hAnsi="宋体" w:eastAsia="方正仿宋_GBK"/>
                <w:sz w:val="28"/>
                <w:szCs w:val="30"/>
              </w:rPr>
              <w:t>5</w:t>
            </w:r>
            <w:r>
              <w:rPr>
                <w:rFonts w:hint="eastAsia" w:ascii="宋体" w:hAnsi="宋体" w:eastAsia="方正仿宋_GBK"/>
                <w:sz w:val="28"/>
                <w:szCs w:val="30"/>
              </w:rPr>
              <w:t>项（牵头单位比例不低于</w:t>
            </w:r>
            <w:r>
              <w:rPr>
                <w:rFonts w:ascii="宋体" w:hAnsi="宋体" w:eastAsia="方正仿宋_GBK"/>
                <w:sz w:val="28"/>
                <w:szCs w:val="30"/>
              </w:rPr>
              <w:t>60%</w:t>
            </w:r>
            <w:r>
              <w:rPr>
                <w:rFonts w:hint="eastAsia" w:ascii="宋体" w:hAnsi="宋体" w:eastAsia="方正仿宋_GBK"/>
                <w:sz w:val="28"/>
                <w:szCs w:val="30"/>
              </w:rPr>
              <w:t>），每项贡献按以下标准单独计分后计算总分：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2</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1</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0.5</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08" w:hRule="atLeast"/>
          <w:jc w:val="center"/>
        </w:trPr>
        <w:tc>
          <w:tcPr>
            <w:tcW w:w="1585" w:type="dxa"/>
            <w:vMerge w:val="continue"/>
            <w:noWrap w:val="0"/>
            <w:vAlign w:val="center"/>
          </w:tcPr>
          <w:p>
            <w:pPr>
              <w:adjustRightInd w:val="0"/>
              <w:snapToGrid w:val="0"/>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对应急管理事业发展的影响（</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为国家和地方应急管理需求作出的贡献以及促进应急管理事业发展产生的引领作用。</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3-4</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1-2</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96" w:hRule="atLeast"/>
          <w:jc w:val="center"/>
        </w:trPr>
        <w:tc>
          <w:tcPr>
            <w:tcW w:w="1585" w:type="dxa"/>
            <w:vMerge w:val="restart"/>
            <w:noWrap w:val="0"/>
            <w:vAlign w:val="center"/>
          </w:tcPr>
          <w:p>
            <w:pPr>
              <w:adjustRightInd w:val="0"/>
              <w:snapToGrid w:val="0"/>
              <w:jc w:val="center"/>
              <w:rPr>
                <w:rFonts w:ascii="宋体" w:hAnsi="宋体" w:eastAsia="方正仿宋_GBK" w:cs="Arial"/>
                <w:color w:val="000000"/>
                <w:sz w:val="28"/>
                <w:szCs w:val="28"/>
              </w:rPr>
            </w:pPr>
            <w:r>
              <w:rPr>
                <w:rFonts w:hint="eastAsia" w:ascii="宋体" w:hAnsi="宋体" w:eastAsia="方正仿宋_GBK" w:cs="Arial"/>
                <w:color w:val="000000"/>
                <w:sz w:val="28"/>
                <w:szCs w:val="28"/>
              </w:rPr>
              <w:t>基础</w:t>
            </w:r>
            <w:r>
              <w:rPr>
                <w:rFonts w:ascii="宋体" w:hAnsi="宋体" w:eastAsia="方正仿宋_GBK" w:cs="Arial"/>
                <w:color w:val="000000"/>
                <w:sz w:val="28"/>
                <w:szCs w:val="28"/>
              </w:rPr>
              <w:t>建设</w:t>
            </w:r>
          </w:p>
          <w:p>
            <w:pPr>
              <w:adjustRightInd w:val="0"/>
              <w:snapToGrid w:val="0"/>
              <w:jc w:val="center"/>
              <w:rPr>
                <w:rFonts w:ascii="宋体" w:hAnsi="宋体" w:eastAsia="方正仿宋_GBK"/>
                <w:sz w:val="28"/>
                <w:szCs w:val="28"/>
              </w:rPr>
            </w:pPr>
            <w:r>
              <w:rPr>
                <w:rFonts w:ascii="宋体" w:hAnsi="宋体" w:eastAsia="方正仿宋_GBK" w:cs="Arial"/>
                <w:color w:val="000000"/>
                <w:sz w:val="28"/>
                <w:szCs w:val="28"/>
              </w:rPr>
              <w:t>与人才培养</w:t>
            </w:r>
            <w:r>
              <w:rPr>
                <w:rFonts w:hint="eastAsia" w:ascii="宋体" w:hAnsi="宋体" w:eastAsia="方正仿宋_GBK" w:cs="Arial"/>
                <w:color w:val="000000"/>
                <w:sz w:val="28"/>
                <w:szCs w:val="28"/>
              </w:rPr>
              <w:t>（</w:t>
            </w:r>
            <w:r>
              <w:rPr>
                <w:rFonts w:ascii="宋体" w:hAnsi="宋体" w:eastAsia="方正仿宋_GBK" w:cs="Arial"/>
                <w:color w:val="000000"/>
                <w:sz w:val="28"/>
                <w:szCs w:val="28"/>
              </w:rPr>
              <w:t>25</w:t>
            </w:r>
            <w:r>
              <w:rPr>
                <w:rFonts w:hint="eastAsia" w:ascii="宋体" w:hAnsi="宋体" w:eastAsia="方正仿宋_GBK" w:cs="Arial"/>
                <w:color w:val="000000"/>
                <w:sz w:val="28"/>
                <w:szCs w:val="28"/>
              </w:rPr>
              <w:t>分）</w:t>
            </w: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硬件设施</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10</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实验场地、仪器设备、配套设施建设情况。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9-10</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6-8</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1-5</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92" w:hRule="atLeast"/>
          <w:jc w:val="center"/>
        </w:trPr>
        <w:tc>
          <w:tcPr>
            <w:tcW w:w="1585" w:type="dxa"/>
            <w:vMerge w:val="continue"/>
            <w:noWrap w:val="0"/>
            <w:vAlign w:val="center"/>
          </w:tcPr>
          <w:p>
            <w:pPr>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经费投入</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10</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依托单位经费投入情况。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30"/>
              </w:rPr>
              <w:t>每投入</w:t>
            </w:r>
            <w:r>
              <w:rPr>
                <w:rFonts w:ascii="宋体" w:hAnsi="宋体" w:eastAsia="方正仿宋_GBK"/>
                <w:sz w:val="28"/>
                <w:szCs w:val="30"/>
              </w:rPr>
              <w:t>50</w:t>
            </w:r>
            <w:r>
              <w:rPr>
                <w:rFonts w:hint="eastAsia" w:ascii="宋体" w:hAnsi="宋体" w:eastAsia="方正仿宋_GBK"/>
                <w:sz w:val="28"/>
                <w:szCs w:val="30"/>
              </w:rPr>
              <w:t>万得</w:t>
            </w:r>
            <w:r>
              <w:rPr>
                <w:rFonts w:ascii="宋体" w:hAnsi="宋体" w:eastAsia="方正仿宋_GBK"/>
                <w:sz w:val="28"/>
                <w:szCs w:val="30"/>
              </w:rPr>
              <w:t>1</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348" w:hRule="atLeast"/>
          <w:jc w:val="center"/>
        </w:trPr>
        <w:tc>
          <w:tcPr>
            <w:tcW w:w="1585" w:type="dxa"/>
            <w:vMerge w:val="continue"/>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人才培养</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凝聚、吸引、培养国内外优秀中青年人才方面取得的成绩，包括研究生培养情况。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3-4</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1-2</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32" w:hRule="atLeast"/>
          <w:jc w:val="center"/>
        </w:trPr>
        <w:tc>
          <w:tcPr>
            <w:tcW w:w="1585" w:type="dxa"/>
            <w:vMerge w:val="restart"/>
            <w:noWrap w:val="0"/>
            <w:vAlign w:val="center"/>
          </w:tcPr>
          <w:p>
            <w:pPr>
              <w:jc w:val="center"/>
              <w:rPr>
                <w:rFonts w:ascii="宋体" w:hAnsi="宋体" w:eastAsia="方正仿宋_GBK" w:cs="Arial"/>
                <w:color w:val="000000"/>
                <w:sz w:val="28"/>
                <w:szCs w:val="28"/>
              </w:rPr>
            </w:pPr>
            <w:r>
              <w:rPr>
                <w:rFonts w:ascii="宋体" w:hAnsi="宋体" w:eastAsia="方正仿宋_GBK" w:cs="Arial"/>
                <w:color w:val="000000"/>
                <w:sz w:val="28"/>
                <w:szCs w:val="28"/>
              </w:rPr>
              <w:t>开放交流</w:t>
            </w:r>
          </w:p>
          <w:p>
            <w:pPr>
              <w:overflowPunct w:val="0"/>
              <w:topLinePunct/>
              <w:autoSpaceDE w:val="0"/>
              <w:jc w:val="center"/>
              <w:rPr>
                <w:rFonts w:ascii="宋体" w:hAnsi="宋体" w:eastAsia="方正仿宋_GBK"/>
                <w:sz w:val="28"/>
                <w:szCs w:val="28"/>
              </w:rPr>
            </w:pPr>
            <w:r>
              <w:rPr>
                <w:rFonts w:ascii="宋体" w:hAnsi="宋体" w:eastAsia="方正仿宋_GBK" w:cs="Arial"/>
                <w:color w:val="000000"/>
                <w:sz w:val="28"/>
                <w:szCs w:val="28"/>
              </w:rPr>
              <w:t>与运行管理</w:t>
            </w:r>
            <w:r>
              <w:rPr>
                <w:rFonts w:hint="eastAsia" w:ascii="宋体" w:hAnsi="宋体" w:eastAsia="方正仿宋_GBK" w:cs="Arial"/>
                <w:color w:val="000000"/>
                <w:sz w:val="28"/>
                <w:szCs w:val="28"/>
              </w:rPr>
              <w:t>（</w:t>
            </w:r>
            <w:r>
              <w:rPr>
                <w:rFonts w:ascii="宋体" w:hAnsi="宋体" w:eastAsia="方正仿宋_GBK" w:cs="Arial"/>
                <w:color w:val="000000"/>
                <w:sz w:val="28"/>
                <w:szCs w:val="28"/>
              </w:rPr>
              <w:t>15</w:t>
            </w:r>
            <w:r>
              <w:rPr>
                <w:rFonts w:hint="eastAsia" w:ascii="宋体" w:hAnsi="宋体" w:eastAsia="方正仿宋_GBK" w:cs="Arial"/>
                <w:color w:val="000000"/>
                <w:sz w:val="28"/>
                <w:szCs w:val="28"/>
              </w:rPr>
              <w:t>分）</w:t>
            </w: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开放课题</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开放课题设置情况。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每年均设置，</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仅一年设置，</w:t>
            </w:r>
            <w:r>
              <w:rPr>
                <w:rFonts w:ascii="宋体" w:hAnsi="宋体" w:eastAsia="方正仿宋_GBK"/>
                <w:sz w:val="28"/>
                <w:szCs w:val="30"/>
              </w:rPr>
              <w:t>3</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未设置，</w:t>
            </w:r>
            <w:r>
              <w:rPr>
                <w:rFonts w:ascii="宋体" w:hAnsi="宋体" w:eastAsia="方正仿宋_GBK"/>
                <w:sz w:val="28"/>
                <w:szCs w:val="30"/>
              </w:rPr>
              <w:t>0</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532" w:hRule="atLeast"/>
          <w:jc w:val="center"/>
        </w:trPr>
        <w:tc>
          <w:tcPr>
            <w:tcW w:w="1585" w:type="dxa"/>
            <w:vMerge w:val="continue"/>
            <w:noWrap w:val="0"/>
            <w:vAlign w:val="center"/>
          </w:tcPr>
          <w:p>
            <w:pPr>
              <w:jc w:val="center"/>
              <w:rPr>
                <w:rFonts w:ascii="宋体" w:hAnsi="宋体" w:eastAsia="方正仿宋_GBK" w:cs="Arial"/>
                <w:color w:val="000000"/>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学术交流</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国内外学术交流及合作情况。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3-4</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1-2</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52" w:hRule="atLeast"/>
          <w:jc w:val="center"/>
        </w:trPr>
        <w:tc>
          <w:tcPr>
            <w:tcW w:w="1585" w:type="dxa"/>
            <w:vMerge w:val="continue"/>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p>
        </w:tc>
        <w:tc>
          <w:tcPr>
            <w:tcW w:w="1843" w:type="dxa"/>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运行管理</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5</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28"/>
              </w:rPr>
              <w:t>日常运行、规章制定、机制创新、学术委员会作用等情况。</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1.</w:t>
            </w:r>
            <w:r>
              <w:rPr>
                <w:rFonts w:hint="eastAsia" w:ascii="宋体" w:hAnsi="宋体" w:eastAsia="方正仿宋_GBK"/>
                <w:sz w:val="28"/>
                <w:szCs w:val="30"/>
              </w:rPr>
              <w:t>优秀，</w:t>
            </w:r>
            <w:r>
              <w:rPr>
                <w:rFonts w:ascii="宋体" w:hAnsi="宋体" w:eastAsia="方正仿宋_GBK"/>
                <w:sz w:val="28"/>
                <w:szCs w:val="30"/>
              </w:rPr>
              <w:t>5</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2.</w:t>
            </w:r>
            <w:r>
              <w:rPr>
                <w:rFonts w:hint="eastAsia" w:ascii="宋体" w:hAnsi="宋体" w:eastAsia="方正仿宋_GBK"/>
                <w:sz w:val="28"/>
                <w:szCs w:val="30"/>
              </w:rPr>
              <w:t>良好，</w:t>
            </w:r>
            <w:r>
              <w:rPr>
                <w:rFonts w:ascii="宋体" w:hAnsi="宋体" w:eastAsia="方正仿宋_GBK"/>
                <w:sz w:val="28"/>
                <w:szCs w:val="30"/>
              </w:rPr>
              <w:t>3-4</w:t>
            </w:r>
            <w:r>
              <w:rPr>
                <w:rFonts w:hint="eastAsia" w:ascii="宋体" w:hAnsi="宋体" w:eastAsia="方正仿宋_GBK"/>
                <w:sz w:val="28"/>
                <w:szCs w:val="30"/>
              </w:rPr>
              <w:t>分；</w:t>
            </w:r>
          </w:p>
          <w:p>
            <w:pPr>
              <w:overflowPunct w:val="0"/>
              <w:topLinePunct/>
              <w:autoSpaceDE w:val="0"/>
              <w:adjustRightInd w:val="0"/>
              <w:snapToGrid w:val="0"/>
              <w:spacing w:line="240" w:lineRule="atLeast"/>
              <w:rPr>
                <w:rFonts w:ascii="宋体" w:hAnsi="宋体" w:eastAsia="方正仿宋_GBK"/>
                <w:sz w:val="28"/>
                <w:szCs w:val="30"/>
              </w:rPr>
            </w:pPr>
            <w:r>
              <w:rPr>
                <w:rFonts w:ascii="宋体" w:hAnsi="宋体" w:eastAsia="方正仿宋_GBK"/>
                <w:sz w:val="28"/>
                <w:szCs w:val="30"/>
              </w:rPr>
              <w:t>3.</w:t>
            </w:r>
            <w:r>
              <w:rPr>
                <w:rFonts w:hint="eastAsia" w:ascii="宋体" w:hAnsi="宋体" w:eastAsia="方正仿宋_GBK"/>
                <w:sz w:val="28"/>
                <w:szCs w:val="30"/>
              </w:rPr>
              <w:t>一般，</w:t>
            </w:r>
            <w:r>
              <w:rPr>
                <w:rFonts w:ascii="宋体" w:hAnsi="宋体" w:eastAsia="方正仿宋_GBK"/>
                <w:sz w:val="28"/>
                <w:szCs w:val="30"/>
              </w:rPr>
              <w:t>1-2</w:t>
            </w:r>
            <w:r>
              <w:rPr>
                <w:rFonts w:hint="eastAsia" w:ascii="宋体" w:hAnsi="宋体" w:eastAsia="方正仿宋_GBK"/>
                <w:sz w:val="28"/>
                <w:szCs w:val="30"/>
              </w:rPr>
              <w:t>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57" w:type="dxa"/>
            <w:bottom w:w="0" w:type="dxa"/>
            <w:right w:w="57" w:type="dxa"/>
          </w:tblCellMar>
        </w:tblPrEx>
        <w:trPr>
          <w:trHeight w:val="452" w:hRule="atLeast"/>
          <w:jc w:val="center"/>
        </w:trPr>
        <w:tc>
          <w:tcPr>
            <w:tcW w:w="3428" w:type="dxa"/>
            <w:gridSpan w:val="2"/>
            <w:noWrap w:val="0"/>
            <w:vAlign w:val="center"/>
          </w:tcPr>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附加项</w:t>
            </w:r>
          </w:p>
          <w:p>
            <w:pPr>
              <w:overflowPunct w:val="0"/>
              <w:topLinePunct/>
              <w:autoSpaceDE w:val="0"/>
              <w:adjustRightInd w:val="0"/>
              <w:snapToGrid w:val="0"/>
              <w:spacing w:line="240" w:lineRule="atLeast"/>
              <w:jc w:val="center"/>
              <w:rPr>
                <w:rFonts w:ascii="宋体" w:hAnsi="宋体" w:eastAsia="方正仿宋_GBK"/>
                <w:sz w:val="28"/>
                <w:szCs w:val="28"/>
              </w:rPr>
            </w:pPr>
            <w:r>
              <w:rPr>
                <w:rFonts w:hint="eastAsia" w:ascii="宋体" w:hAnsi="宋体" w:eastAsia="方正仿宋_GBK"/>
                <w:sz w:val="28"/>
                <w:szCs w:val="28"/>
              </w:rPr>
              <w:t>（</w:t>
            </w:r>
            <w:r>
              <w:rPr>
                <w:rFonts w:ascii="宋体" w:hAnsi="宋体" w:eastAsia="方正仿宋_GBK"/>
                <w:sz w:val="28"/>
                <w:szCs w:val="28"/>
              </w:rPr>
              <w:t>10</w:t>
            </w:r>
            <w:r>
              <w:rPr>
                <w:rFonts w:hint="eastAsia" w:ascii="宋体" w:hAnsi="宋体" w:eastAsia="方正仿宋_GBK"/>
                <w:sz w:val="28"/>
                <w:szCs w:val="28"/>
              </w:rPr>
              <w:t>分）</w:t>
            </w:r>
          </w:p>
        </w:tc>
        <w:tc>
          <w:tcPr>
            <w:tcW w:w="5223" w:type="dxa"/>
            <w:noWrap w:val="0"/>
            <w:vAlign w:val="center"/>
          </w:tcPr>
          <w:p>
            <w:pPr>
              <w:overflowPunct w:val="0"/>
              <w:topLinePunct/>
              <w:autoSpaceDE w:val="0"/>
              <w:adjustRightInd w:val="0"/>
              <w:snapToGrid w:val="0"/>
              <w:spacing w:line="240" w:lineRule="atLeast"/>
              <w:rPr>
                <w:rFonts w:ascii="宋体" w:hAnsi="宋体" w:eastAsia="方正仿宋_GBK"/>
                <w:sz w:val="28"/>
                <w:szCs w:val="28"/>
              </w:rPr>
            </w:pPr>
            <w:r>
              <w:rPr>
                <w:rFonts w:hint="eastAsia" w:ascii="宋体" w:hAnsi="宋体" w:eastAsia="方正仿宋_GBK"/>
                <w:sz w:val="28"/>
                <w:szCs w:val="28"/>
              </w:rPr>
              <w:t>形成重大标志性成果、在重特大灾害事故现场处置中发挥关键技术支撑作用的。</w:t>
            </w:r>
          </w:p>
        </w:tc>
        <w:tc>
          <w:tcPr>
            <w:tcW w:w="5598" w:type="dxa"/>
            <w:noWrap w:val="0"/>
            <w:vAlign w:val="center"/>
          </w:tcPr>
          <w:p>
            <w:pPr>
              <w:overflowPunct w:val="0"/>
              <w:topLinePunct/>
              <w:autoSpaceDE w:val="0"/>
              <w:adjustRightInd w:val="0"/>
              <w:snapToGrid w:val="0"/>
              <w:spacing w:line="240" w:lineRule="atLeast"/>
              <w:rPr>
                <w:rFonts w:ascii="宋体" w:hAnsi="宋体" w:eastAsia="方正仿宋_GBK"/>
                <w:sz w:val="28"/>
                <w:szCs w:val="30"/>
              </w:rPr>
            </w:pPr>
            <w:r>
              <w:rPr>
                <w:rFonts w:hint="eastAsia" w:ascii="宋体" w:hAnsi="宋体" w:eastAsia="方正仿宋_GBK"/>
                <w:sz w:val="28"/>
                <w:szCs w:val="30"/>
              </w:rPr>
              <w:t>重大标志性成果每项</w:t>
            </w:r>
            <w:r>
              <w:rPr>
                <w:rFonts w:ascii="宋体" w:hAnsi="宋体" w:eastAsia="方正仿宋_GBK"/>
                <w:sz w:val="28"/>
                <w:szCs w:val="30"/>
              </w:rPr>
              <w:t>5</w:t>
            </w:r>
            <w:r>
              <w:rPr>
                <w:rFonts w:hint="eastAsia" w:ascii="宋体" w:hAnsi="宋体" w:eastAsia="方正仿宋_GBK"/>
                <w:sz w:val="28"/>
                <w:szCs w:val="30"/>
              </w:rPr>
              <w:t>分，支撑重特大灾害事故处置每次</w:t>
            </w:r>
            <w:r>
              <w:rPr>
                <w:rFonts w:ascii="宋体" w:hAnsi="宋体" w:eastAsia="方正仿宋_GBK"/>
                <w:sz w:val="28"/>
                <w:szCs w:val="30"/>
              </w:rPr>
              <w:t>5</w:t>
            </w:r>
            <w:r>
              <w:rPr>
                <w:rFonts w:hint="eastAsia" w:ascii="宋体" w:hAnsi="宋体" w:eastAsia="方正仿宋_GBK"/>
                <w:sz w:val="28"/>
                <w:szCs w:val="30"/>
              </w:rPr>
              <w:t>分，不超过</w:t>
            </w:r>
            <w:r>
              <w:rPr>
                <w:rFonts w:ascii="宋体" w:hAnsi="宋体" w:eastAsia="方正仿宋_GBK"/>
                <w:sz w:val="28"/>
                <w:szCs w:val="30"/>
              </w:rPr>
              <w:t>10</w:t>
            </w:r>
            <w:r>
              <w:rPr>
                <w:rFonts w:hint="eastAsia" w:ascii="宋体" w:hAnsi="宋体" w:eastAsia="方正仿宋_GBK"/>
                <w:sz w:val="28"/>
                <w:szCs w:val="30"/>
              </w:rPr>
              <w:t>分，得分点不得与前述指标重复。</w:t>
            </w:r>
          </w:p>
        </w:tc>
      </w:tr>
    </w:tbl>
    <w:p>
      <w:pPr>
        <w:spacing w:line="560" w:lineRule="exact"/>
        <w:outlineLvl w:val="0"/>
      </w:pPr>
      <w:r>
        <w:rPr>
          <w:rFonts w:hint="eastAsia" w:ascii="宋体" w:hAnsi="宋体" w:eastAsia="方正楷体_GBK"/>
          <w:sz w:val="28"/>
          <w:szCs w:val="28"/>
        </w:rPr>
        <w:t>注：</w:t>
      </w:r>
      <w:r>
        <w:rPr>
          <w:rFonts w:ascii="宋体" w:hAnsi="宋体" w:eastAsia="方正楷体_GBK"/>
          <w:sz w:val="28"/>
          <w:szCs w:val="28"/>
        </w:rPr>
        <w:t>1.</w:t>
      </w:r>
      <w:r>
        <w:rPr>
          <w:rFonts w:hint="eastAsia" w:ascii="宋体" w:hAnsi="宋体" w:eastAsia="方正楷体_GBK"/>
          <w:sz w:val="28"/>
          <w:szCs w:val="28"/>
        </w:rPr>
        <w:t>所有得分项必须提供证明材料，同一依托单位有多个重点实验室的，相同证明材料不得在不同重点实验室间重复使用；</w:t>
      </w:r>
      <w:r>
        <w:rPr>
          <w:rFonts w:ascii="宋体" w:hAnsi="宋体" w:eastAsia="方正楷体_GBK"/>
          <w:sz w:val="28"/>
          <w:szCs w:val="28"/>
        </w:rPr>
        <w:t>2.</w:t>
      </w:r>
      <w:r>
        <w:rPr>
          <w:rFonts w:hint="eastAsia" w:ascii="宋体" w:hAnsi="宋体" w:eastAsia="方正楷体_GBK"/>
          <w:sz w:val="28"/>
          <w:szCs w:val="28"/>
        </w:rPr>
        <w:t>如有附加项得分，满分不超过</w:t>
      </w:r>
      <w:r>
        <w:rPr>
          <w:rFonts w:ascii="宋体" w:hAnsi="宋体" w:eastAsia="方正楷体_GBK"/>
          <w:sz w:val="28"/>
          <w:szCs w:val="28"/>
        </w:rPr>
        <w:t>100</w:t>
      </w:r>
      <w:r>
        <w:rPr>
          <w:rFonts w:hint="eastAsia" w:ascii="宋体" w:hAnsi="宋体" w:eastAsia="方正楷体_GBK"/>
          <w:sz w:val="28"/>
          <w:szCs w:val="28"/>
        </w:rPr>
        <w:t>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214D4C97"/>
    <w:rsid w:val="214D4C97"/>
    <w:rsid w:val="5723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2020</Words>
  <Characters>2031</Characters>
  <Lines>0</Lines>
  <Paragraphs>0</Paragraphs>
  <TotalTime>0</TotalTime>
  <ScaleCrop>false</ScaleCrop>
  <LinksUpToDate>false</LinksUpToDate>
  <CharactersWithSpaces>2067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2022-06-20T06:29:00Z</dcterms:created>
  <dc:creator>monkeyhappy</dc:creator>
  <cp:lastModifiedBy>monkeyhappy</cp:lastModifiedBy>
  <dcterms:modified xsi:type="dcterms:W3CDTF">2022-06-20T06:33:04Z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985A679FE15648E995B9A4FB321F6A84</vt:lpwstr>
  </property>
</Properties>
</file>