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b/>
          <w:bCs/>
          <w:sz w:val="44"/>
          <w:szCs w:val="44"/>
        </w:rPr>
      </w:pPr>
      <w:bookmarkStart w:id="0" w:name="_GoBack"/>
      <w:r>
        <w:rPr>
          <w:rFonts w:hint="eastAsia" w:ascii="华文中宋" w:hAnsi="华文中宋" w:eastAsia="华文中宋"/>
          <w:b/>
          <w:bCs/>
          <w:sz w:val="44"/>
          <w:szCs w:val="44"/>
        </w:rPr>
        <w:t>危险化学品企业</w:t>
      </w:r>
    </w:p>
    <w:p>
      <w:pPr>
        <w:spacing w:line="540" w:lineRule="exact"/>
        <w:jc w:val="center"/>
        <w:rPr>
          <w:rFonts w:ascii="华文中宋" w:hAnsi="华文中宋" w:eastAsia="华文中宋"/>
          <w:b/>
          <w:bCs/>
          <w:sz w:val="44"/>
          <w:szCs w:val="44"/>
        </w:rPr>
      </w:pPr>
      <w:r>
        <w:rPr>
          <w:rFonts w:hint="eastAsia" w:ascii="华文中宋" w:hAnsi="华文中宋" w:eastAsia="华文中宋"/>
          <w:b/>
          <w:bCs/>
          <w:sz w:val="44"/>
          <w:szCs w:val="44"/>
        </w:rPr>
        <w:t>生产安全事故应急准备指南</w:t>
      </w:r>
    </w:p>
    <w:bookmarkEnd w:id="0"/>
    <w:p>
      <w:pPr>
        <w:spacing w:line="540" w:lineRule="exact"/>
        <w:rPr>
          <w:rFonts w:ascii="黑体" w:hAnsi="黑体" w:eastAsia="黑体"/>
          <w:bCs/>
          <w:sz w:val="32"/>
          <w:szCs w:val="32"/>
        </w:rPr>
      </w:pPr>
    </w:p>
    <w:p>
      <w:pPr>
        <w:spacing w:line="540" w:lineRule="exact"/>
        <w:ind w:firstLine="640" w:firstLineChars="200"/>
        <w:rPr>
          <w:rFonts w:ascii="仿宋_GB2312" w:eastAsia="仿宋_GB2312"/>
          <w:sz w:val="32"/>
          <w:szCs w:val="32"/>
          <w:shd w:val="clear" w:color="auto" w:fill="FFFFFF"/>
        </w:rPr>
      </w:pPr>
      <w:r>
        <w:rPr>
          <w:rFonts w:ascii="黑体" w:hAnsi="黑体" w:eastAsia="黑体"/>
          <w:sz w:val="32"/>
          <w:szCs w:val="32"/>
          <w:shd w:val="clear" w:color="auto" w:fill="FFFFFF"/>
        </w:rPr>
        <w:t>第一条</w:t>
      </w:r>
      <w:r>
        <w:rPr>
          <w:rFonts w:hint="eastAsia" w:ascii="黑体" w:hAnsi="黑体" w:eastAsia="黑体"/>
          <w:sz w:val="32"/>
          <w:szCs w:val="32"/>
          <w:shd w:val="clear" w:color="auto" w:fill="FFFFFF"/>
        </w:rPr>
        <w:t xml:space="preserve"> </w:t>
      </w:r>
      <w:r>
        <w:rPr>
          <w:rFonts w:hint="eastAsia" w:ascii="仿宋_GB2312" w:eastAsia="仿宋_GB2312"/>
          <w:sz w:val="32"/>
          <w:szCs w:val="32"/>
          <w:shd w:val="clear" w:color="auto" w:fill="FFFFFF"/>
        </w:rPr>
        <w:t>为加强危险化学品企业安全生产应急管理工作，有效防范和应对危险化学品事故，保障人民群众生命和财产安全，</w:t>
      </w:r>
      <w:r>
        <w:rPr>
          <w:rFonts w:ascii="仿宋_GB2312" w:eastAsia="仿宋_GB2312"/>
          <w:sz w:val="32"/>
          <w:szCs w:val="32"/>
          <w:shd w:val="clear" w:color="auto" w:fill="FFFFFF"/>
        </w:rPr>
        <w:t>依据《</w:t>
      </w:r>
      <w:r>
        <w:rPr>
          <w:rFonts w:hint="eastAsia" w:ascii="仿宋_GB2312" w:eastAsia="仿宋_GB2312"/>
          <w:sz w:val="32"/>
          <w:szCs w:val="32"/>
          <w:shd w:val="clear" w:color="auto" w:fill="FFFFFF"/>
        </w:rPr>
        <w:t>中华人民共和国</w:t>
      </w:r>
      <w:r>
        <w:rPr>
          <w:rFonts w:ascii="仿宋_GB2312" w:eastAsia="仿宋_GB2312"/>
          <w:sz w:val="32"/>
          <w:szCs w:val="32"/>
          <w:shd w:val="clear" w:color="auto" w:fill="FFFFFF"/>
        </w:rPr>
        <w:t>突发事件应对法》《</w:t>
      </w:r>
      <w:r>
        <w:rPr>
          <w:rFonts w:hint="eastAsia" w:ascii="仿宋_GB2312" w:eastAsia="仿宋_GB2312"/>
          <w:sz w:val="32"/>
          <w:szCs w:val="32"/>
          <w:shd w:val="clear" w:color="auto" w:fill="FFFFFF"/>
        </w:rPr>
        <w:t>中华人民共和国</w:t>
      </w:r>
      <w:r>
        <w:rPr>
          <w:rFonts w:ascii="仿宋_GB2312" w:eastAsia="仿宋_GB2312"/>
          <w:sz w:val="32"/>
          <w:szCs w:val="32"/>
          <w:shd w:val="clear" w:color="auto" w:fill="FFFFFF"/>
        </w:rPr>
        <w:t>安全生产法》《生产安全事故应急条例》《生产安全事故应急</w:t>
      </w:r>
      <w:r>
        <w:rPr>
          <w:rFonts w:hint="eastAsia" w:ascii="仿宋_GB2312" w:eastAsia="仿宋_GB2312"/>
          <w:sz w:val="32"/>
          <w:szCs w:val="32"/>
          <w:shd w:val="clear" w:color="auto" w:fill="FFFFFF"/>
        </w:rPr>
        <w:t>预案管理办法</w:t>
      </w:r>
      <w:r>
        <w:rPr>
          <w:rFonts w:ascii="仿宋_GB2312" w:eastAsia="仿宋_GB2312"/>
          <w:sz w:val="32"/>
          <w:szCs w:val="32"/>
          <w:shd w:val="clear" w:color="auto" w:fill="FFFFFF"/>
        </w:rPr>
        <w:t>》等法律</w:t>
      </w:r>
      <w:r>
        <w:rPr>
          <w:rFonts w:hint="eastAsia" w:ascii="仿宋_GB2312" w:eastAsia="仿宋_GB2312"/>
          <w:sz w:val="32"/>
          <w:szCs w:val="32"/>
          <w:shd w:val="clear" w:color="auto" w:fill="FFFFFF"/>
        </w:rPr>
        <w:t>、</w:t>
      </w:r>
      <w:r>
        <w:rPr>
          <w:rFonts w:ascii="仿宋_GB2312" w:eastAsia="仿宋_GB2312"/>
          <w:sz w:val="32"/>
          <w:szCs w:val="32"/>
          <w:shd w:val="clear" w:color="auto" w:fill="FFFFFF"/>
        </w:rPr>
        <w:t>法规</w:t>
      </w:r>
      <w:r>
        <w:rPr>
          <w:rFonts w:hint="eastAsia" w:ascii="仿宋_GB2312" w:eastAsia="仿宋_GB2312"/>
          <w:sz w:val="32"/>
          <w:szCs w:val="32"/>
          <w:shd w:val="clear" w:color="auto" w:fill="FFFFFF"/>
        </w:rPr>
        <w:t>、规章、标准和</w:t>
      </w:r>
      <w:r>
        <w:rPr>
          <w:rFonts w:ascii="仿宋_GB2312" w:eastAsia="仿宋_GB2312"/>
          <w:sz w:val="32"/>
          <w:szCs w:val="32"/>
          <w:shd w:val="clear" w:color="auto" w:fill="FFFFFF"/>
        </w:rPr>
        <w:t>有关文件</w:t>
      </w:r>
      <w:r>
        <w:rPr>
          <w:rFonts w:hint="eastAsia" w:ascii="仿宋_GB2312" w:eastAsia="仿宋_GB2312"/>
          <w:sz w:val="32"/>
          <w:szCs w:val="32"/>
          <w:shd w:val="clear" w:color="auto" w:fill="FFFFFF"/>
        </w:rPr>
        <w:t>（以下统称现行法律法规制度）</w:t>
      </w:r>
      <w:r>
        <w:rPr>
          <w:rFonts w:ascii="仿宋_GB2312" w:eastAsia="仿宋_GB2312"/>
          <w:sz w:val="32"/>
          <w:szCs w:val="32"/>
          <w:shd w:val="clear" w:color="auto" w:fill="FFFFFF"/>
        </w:rPr>
        <w:t>，制定本</w:t>
      </w:r>
      <w:r>
        <w:rPr>
          <w:rFonts w:hint="eastAsia" w:ascii="仿宋_GB2312" w:eastAsia="仿宋_GB2312"/>
          <w:sz w:val="32"/>
          <w:szCs w:val="32"/>
          <w:shd w:val="clear" w:color="auto" w:fill="FFFFFF"/>
        </w:rPr>
        <w:t>指南</w:t>
      </w:r>
      <w:r>
        <w:rPr>
          <w:rFonts w:ascii="仿宋_GB2312" w:eastAsia="仿宋_GB2312"/>
          <w:sz w:val="32"/>
          <w:szCs w:val="32"/>
          <w:shd w:val="clear" w:color="auto" w:fill="FFFFFF"/>
        </w:rPr>
        <w:t>。</w:t>
      </w:r>
    </w:p>
    <w:p>
      <w:pPr>
        <w:spacing w:line="540" w:lineRule="exact"/>
        <w:ind w:firstLine="640" w:firstLineChars="200"/>
        <w:rPr>
          <w:rFonts w:ascii="仿宋_GB2312" w:eastAsia="仿宋_GB2312"/>
          <w:sz w:val="32"/>
          <w:szCs w:val="32"/>
          <w:shd w:val="clear" w:color="auto" w:fill="FFFFFF"/>
        </w:rPr>
      </w:pPr>
      <w:r>
        <w:rPr>
          <w:rFonts w:hint="eastAsia" w:ascii="黑体" w:hAnsi="黑体" w:eastAsia="黑体"/>
          <w:sz w:val="32"/>
          <w:szCs w:val="32"/>
          <w:shd w:val="clear" w:color="auto" w:fill="FFFFFF"/>
        </w:rPr>
        <w:t xml:space="preserve">第二条 </w:t>
      </w:r>
      <w:r>
        <w:rPr>
          <w:rFonts w:hint="eastAsia" w:ascii="仿宋_GB2312" w:hAnsi="宋体" w:eastAsia="仿宋_GB2312"/>
          <w:sz w:val="32"/>
          <w:szCs w:val="32"/>
        </w:rPr>
        <w:t>本指南适用于危险化学品生产、使用、经营、储存单位（以下统称危险化学品企业）依法实</w:t>
      </w:r>
      <w:r>
        <w:rPr>
          <w:rFonts w:hint="eastAsia" w:ascii="仿宋_GB2312" w:eastAsia="仿宋_GB2312"/>
          <w:sz w:val="32"/>
          <w:szCs w:val="32"/>
          <w:shd w:val="clear" w:color="auto" w:fill="FFFFFF"/>
        </w:rPr>
        <w:t>施生产安全事故应急准备工作，也可作为各级政府应急管理部门和其他负有危险化学品安全生产监督管理职责的部门依法监督检查危险化学品企业生产安全事故应急准备工作的工具。</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本指南所称危险化学品使用单位是指根据《危险化学品安全使用许可证实施办法》规定，应取得危险化学品安全使用许可证的化工企业。</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第三条 </w:t>
      </w:r>
      <w:r>
        <w:rPr>
          <w:rFonts w:hint="eastAsia" w:ascii="仿宋_GB2312" w:hAnsi="宋体" w:eastAsia="仿宋_GB2312"/>
          <w:sz w:val="32"/>
          <w:szCs w:val="32"/>
        </w:rPr>
        <w:t>依法做好生产安全事故应急准备是危险化学品企业开展安全生产应急管理工作的主要任务，落实安全生产主体责任的重要内容。</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应急准备应贯穿于</w:t>
      </w:r>
      <w:r>
        <w:rPr>
          <w:rFonts w:hint="eastAsia" w:ascii="仿宋_GB2312" w:eastAsia="仿宋_GB2312"/>
          <w:sz w:val="32"/>
          <w:szCs w:val="32"/>
          <w:shd w:val="clear" w:color="auto" w:fill="FFFFFF"/>
        </w:rPr>
        <w:t>危险化学品企</w:t>
      </w:r>
      <w:r>
        <w:rPr>
          <w:rFonts w:hint="eastAsia" w:ascii="仿宋_GB2312" w:hAnsi="宋体" w:eastAsia="仿宋_GB2312"/>
          <w:sz w:val="32"/>
          <w:szCs w:val="32"/>
        </w:rPr>
        <w:t>业安全生产各环节、全过程。</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危险化学品企业应遵循安全生产应急工作规律，依法依规，结合实际，在风险评估基础上，针对可能发生的生产安全事故特点和危害，持续开展应急准备工作。</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第四条 </w:t>
      </w:r>
      <w:r>
        <w:rPr>
          <w:rFonts w:hint="eastAsia" w:ascii="仿宋_GB2312" w:hAnsi="宋体" w:eastAsia="仿宋_GB2312"/>
          <w:sz w:val="32"/>
          <w:szCs w:val="32"/>
        </w:rPr>
        <w:t>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要素1：思想理念。</w:t>
      </w:r>
      <w:r>
        <w:rPr>
          <w:rFonts w:hint="eastAsia" w:ascii="仿宋_GB2312" w:hAnsi="宋体" w:eastAsia="仿宋_GB2312"/>
          <w:sz w:val="32"/>
          <w:szCs w:val="32"/>
        </w:rPr>
        <w:t>思想理念是应急准备工作的源头和指引。危险化学品企业要坚持以人为本、安全发展，生命至上、科学救援理念，树立安全发展的红线意识和风险防控的底线思维，依法依规开展应急准备工作。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本要素包括安全发展红线意识、风险防控底线思维、应急管理法治化与生命至上、科学救援四个项目。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要素2：组织与职责。</w:t>
      </w:r>
      <w:r>
        <w:rPr>
          <w:rFonts w:hint="eastAsia" w:ascii="仿宋_GB2312" w:hAnsi="宋体" w:eastAsia="仿宋_GB2312"/>
          <w:sz w:val="32"/>
          <w:szCs w:val="32"/>
        </w:rPr>
        <w:t>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本要素包括应急组织、职责任务两个项目。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要素3：法律法规。</w:t>
      </w:r>
      <w:r>
        <w:rPr>
          <w:rFonts w:hint="eastAsia" w:ascii="仿宋_GB2312" w:hAnsi="宋体" w:eastAsia="仿宋_GB2312"/>
          <w:sz w:val="32"/>
          <w:szCs w:val="32"/>
        </w:rPr>
        <w:t>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本要素包括法律法规识别、法律法规转化、建立应急管理制度三个项目。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要素4：风险评估。</w:t>
      </w:r>
      <w:r>
        <w:rPr>
          <w:rFonts w:hint="eastAsia" w:ascii="仿宋_GB2312" w:hAnsi="宋体" w:eastAsia="仿宋_GB2312"/>
          <w:sz w:val="32"/>
          <w:szCs w:val="32"/>
        </w:rPr>
        <w:t>风险评估是企业开展应急准备和救援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本要素包括风险辨识、风险分析、风险评价、情景构建四个项目。</w:t>
      </w:r>
    </w:p>
    <w:p>
      <w:pPr>
        <w:spacing w:line="540" w:lineRule="exact"/>
        <w:ind w:firstLine="643" w:firstLineChars="200"/>
        <w:rPr>
          <w:rFonts w:ascii="仿宋_GB2312" w:eastAsia="仿宋_GB2312"/>
          <w:sz w:val="32"/>
          <w:szCs w:val="32"/>
          <w:shd w:val="clear" w:color="auto" w:fill="FFFFFF"/>
        </w:rPr>
      </w:pPr>
      <w:r>
        <w:rPr>
          <w:rFonts w:hint="eastAsia" w:ascii="仿宋_GB2312" w:hAnsi="宋体" w:eastAsia="仿宋_GB2312"/>
          <w:b/>
          <w:sz w:val="32"/>
          <w:szCs w:val="32"/>
        </w:rPr>
        <w:t>要素5：预案管理。</w:t>
      </w:r>
      <w:r>
        <w:rPr>
          <w:rFonts w:hint="eastAsia" w:ascii="仿宋_GB2312" w:hAnsi="宋体" w:eastAsia="仿宋_GB2312"/>
          <w:sz w:val="32"/>
          <w:szCs w:val="32"/>
        </w:rPr>
        <w:t>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w:t>
      </w:r>
      <w:r>
        <w:rPr>
          <w:rFonts w:hint="eastAsia" w:ascii="仿宋_GB2312" w:eastAsia="仿宋_GB2312"/>
          <w:sz w:val="32"/>
          <w:szCs w:val="32"/>
          <w:shd w:val="clear" w:color="auto" w:fill="FFFFFF"/>
        </w:rPr>
        <w:t>评审、签署、公布与备案；及时评估和修订预案，增强预案的针对性、实用性和可操作性。</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本要素包括预案编制、预案管理、能力提升三个项目。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要素6：监测与预警。</w:t>
      </w:r>
      <w:r>
        <w:rPr>
          <w:rFonts w:hint="eastAsia" w:ascii="仿宋_GB2312" w:hAnsi="宋体" w:eastAsia="仿宋_GB2312"/>
          <w:sz w:val="32"/>
          <w:szCs w:val="32"/>
        </w:rPr>
        <w:t>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本要素包括监测、预警分级、预警措施三个项目。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要素7：教育培训与演练。</w:t>
      </w:r>
      <w:r>
        <w:rPr>
          <w:rFonts w:hint="eastAsia" w:ascii="仿宋_GB2312" w:hAnsi="宋体" w:eastAsia="仿宋_GB2312"/>
          <w:sz w:val="32"/>
          <w:szCs w:val="32"/>
        </w:rPr>
        <w:t>教育培训与演练是企业普及应急知识，从业人员提高应急处置技能、熟练掌握应急预案的有效措施。危险化学品企业应对从业人员（包含承包商、救援协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本要素包括应急教育培训、应急演练、演练评估三个项目。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要素8：值班值守。</w:t>
      </w:r>
      <w:r>
        <w:rPr>
          <w:rFonts w:hint="eastAsia" w:ascii="仿宋_GB2312" w:hAnsi="宋体" w:eastAsia="仿宋_GB2312"/>
          <w:sz w:val="32"/>
          <w:szCs w:val="32"/>
        </w:rPr>
        <w:t>值班值守是企业保障事故信息畅通、应急响应迅速的重要措施，是企业应急管理的重要环节。危险化学品企业</w:t>
      </w:r>
      <w:r>
        <w:rPr>
          <w:rFonts w:hint="eastAsia" w:ascii="仿宋_GB2312" w:eastAsia="仿宋_GB2312"/>
          <w:sz w:val="32"/>
          <w:szCs w:val="32"/>
          <w:shd w:val="clear" w:color="auto" w:fill="FFFFFF"/>
        </w:rPr>
        <w:t>要设立应急值班值守机构，建立健全值班值守制度，</w:t>
      </w:r>
      <w:r>
        <w:rPr>
          <w:rFonts w:hint="eastAsia" w:ascii="仿宋_GB2312" w:hAnsi="宋体" w:eastAsia="仿宋_GB2312"/>
          <w:sz w:val="32"/>
          <w:szCs w:val="32"/>
        </w:rPr>
        <w:t>设置固定办公场所、配齐工作设备设施，配足专门人员、全天候值班值守，确保应急信息畅通、指挥调度高效。规模较大、危险性较高的危险化学品生产、经营、储存企业应当成立应急处置技术组，实行24小时值班。</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本要素包括应急值班、事故信息接报、对外通报三个项目。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要素9：信息管理。</w:t>
      </w:r>
      <w:r>
        <w:rPr>
          <w:rFonts w:hint="eastAsia" w:ascii="仿宋_GB2312" w:hAnsi="宋体" w:eastAsia="仿宋_GB2312"/>
          <w:sz w:val="32"/>
          <w:szCs w:val="32"/>
        </w:rPr>
        <w:t>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本要素包括应急救援信息、信息保障两个项目。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要素10：装备设施。</w:t>
      </w:r>
      <w:r>
        <w:rPr>
          <w:rFonts w:hint="eastAsia" w:ascii="仿宋_GB2312" w:hAnsi="宋体" w:eastAsia="仿宋_GB2312"/>
          <w:sz w:val="32"/>
          <w:szCs w:val="32"/>
        </w:rPr>
        <w:t>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本要素包括应急设施、应急物资装备和维护管理三个项目。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要素11：救援队伍建设。</w:t>
      </w:r>
      <w:r>
        <w:rPr>
          <w:rFonts w:hint="eastAsia" w:ascii="仿宋_GB2312" w:hAnsi="宋体" w:eastAsia="仿宋_GB2312"/>
          <w:sz w:val="32"/>
          <w:szCs w:val="32"/>
        </w:rPr>
        <w:t>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本要素包括队伍设置、能力要求、队伍管理、对外公布与调动四个项目。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要素12：应急处置与救援。</w:t>
      </w:r>
      <w:r>
        <w:rPr>
          <w:rFonts w:hint="eastAsia" w:ascii="仿宋_GB2312" w:hAnsi="宋体" w:eastAsia="仿宋_GB2312"/>
          <w:sz w:val="32"/>
          <w:szCs w:val="32"/>
        </w:rPr>
        <w:t>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本要素包括应急指挥与救援组织、应急救援基本原则、响应分级、总体响应程序、岗位应急程序、现场应急措施、重点监控危险化学品应急处置、配合政府应急处置八个项目。 </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要素13：应急准备恢复。</w:t>
      </w:r>
      <w:r>
        <w:rPr>
          <w:rFonts w:hint="eastAsia" w:ascii="仿宋_GB2312" w:hAnsi="宋体" w:eastAsia="仿宋_GB2312"/>
          <w:sz w:val="32"/>
          <w:szCs w:val="32"/>
        </w:rPr>
        <w:t>事故发生，打破了企业原有的生产秩序和应急准备常态。危险化学品企业应在事故救援结束后，开展应急资源消耗评估，及时进行维修、更新、补充，恢复到应急准备常态。</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本要素包括事后风险评估、应急准备恢复、应急处置评估三个项目。</w:t>
      </w:r>
    </w:p>
    <w:p>
      <w:pPr>
        <w:spacing w:line="540" w:lineRule="exact"/>
        <w:ind w:firstLine="643" w:firstLineChars="200"/>
        <w:rPr>
          <w:rFonts w:ascii="仿宋_GB2312" w:hAnsi="宋体" w:eastAsia="仿宋_GB2312"/>
          <w:sz w:val="32"/>
          <w:szCs w:val="32"/>
        </w:rPr>
      </w:pPr>
      <w:r>
        <w:rPr>
          <w:rFonts w:hint="eastAsia" w:ascii="仿宋_GB2312" w:hAnsi="宋体" w:eastAsia="仿宋_GB2312"/>
          <w:b/>
          <w:sz w:val="32"/>
          <w:szCs w:val="32"/>
        </w:rPr>
        <w:t>要素14：经费保障。</w:t>
      </w:r>
      <w:r>
        <w:rPr>
          <w:rFonts w:hint="eastAsia" w:ascii="仿宋_GB2312" w:hAnsi="宋体" w:eastAsia="仿宋_GB2312"/>
          <w:sz w:val="32"/>
          <w:szCs w:val="32"/>
        </w:rPr>
        <w:t>经费保障是做好应急准备工作的重要前提条件。危险化学品企业要重视并加强事前投入，保障并落实监测预警、教育培训、物资装备、预案管理、应急演练等各环节所需的资金预算。</w:t>
      </w:r>
    </w:p>
    <w:p>
      <w:pPr>
        <w:spacing w:line="54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要依法对外部救</w:t>
      </w:r>
      <w:r>
        <w:rPr>
          <w:rFonts w:hint="eastAsia" w:ascii="仿宋_GB2312" w:eastAsia="仿宋_GB2312"/>
          <w:sz w:val="32"/>
          <w:szCs w:val="32"/>
          <w:shd w:val="clear" w:color="auto" w:fill="FFFFFF"/>
        </w:rPr>
        <w:t>援队伍参与救援所耗费用予以偿还。</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本要素包括应急资金预算、救援费用承担两个项目。</w:t>
      </w:r>
    </w:p>
    <w:p>
      <w:pPr>
        <w:spacing w:line="540" w:lineRule="exact"/>
        <w:ind w:firstLine="640" w:firstLineChars="200"/>
        <w:rPr>
          <w:rFonts w:ascii="仿宋_GB2312" w:eastAsia="仿宋_GB2312"/>
          <w:sz w:val="32"/>
          <w:szCs w:val="32"/>
          <w:shd w:val="clear" w:color="auto" w:fill="FFFFFF"/>
        </w:rPr>
      </w:pPr>
      <w:r>
        <w:rPr>
          <w:rFonts w:hint="eastAsia" w:ascii="黑体" w:hAnsi="黑体" w:eastAsia="黑体"/>
          <w:sz w:val="32"/>
          <w:szCs w:val="32"/>
          <w:shd w:val="clear" w:color="auto" w:fill="FFFFFF"/>
        </w:rPr>
        <w:t xml:space="preserve">第五条 </w:t>
      </w:r>
      <w:r>
        <w:rPr>
          <w:rFonts w:hint="eastAsia" w:ascii="仿宋_GB2312" w:hAnsi="宋体" w:eastAsia="仿宋_GB2312"/>
          <w:sz w:val="32"/>
          <w:szCs w:val="32"/>
        </w:rPr>
        <w:t>本指南依据现行相关法律法规制度细化明确了应急准备各要素所有项目的主要内容，详见附件</w:t>
      </w:r>
      <w:r>
        <w:rPr>
          <w:rFonts w:hint="eastAsia" w:ascii="仿宋_GB2312" w:eastAsia="仿宋_GB2312"/>
          <w:sz w:val="32"/>
          <w:szCs w:val="32"/>
          <w:shd w:val="clear" w:color="auto" w:fill="FFFFFF"/>
        </w:rPr>
        <w:t>《危险化学品企业生产安全事故应急准备工作表》。</w:t>
      </w:r>
    </w:p>
    <w:p>
      <w:pPr>
        <w:spacing w:line="54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（一）危险化学品企业生产安全事故应急准备包括但不限于</w:t>
      </w:r>
      <w:r>
        <w:rPr>
          <w:rFonts w:hint="eastAsia" w:ascii="仿宋_GB2312" w:eastAsia="仿宋_GB2312"/>
          <w:sz w:val="32"/>
          <w:szCs w:val="32"/>
          <w:shd w:val="clear" w:color="auto" w:fill="FFFFFF"/>
        </w:rPr>
        <w:t>附件所列要素及其项目、</w:t>
      </w:r>
      <w:r>
        <w:rPr>
          <w:rFonts w:hint="eastAsia" w:ascii="仿宋_GB2312" w:hAnsi="宋体" w:eastAsia="仿宋_GB2312"/>
          <w:sz w:val="32"/>
          <w:szCs w:val="32"/>
        </w:rPr>
        <w:t>内容</w:t>
      </w:r>
      <w:r>
        <w:rPr>
          <w:rFonts w:hint="eastAsia" w:ascii="仿宋_GB2312" w:eastAsia="仿宋_GB2312"/>
          <w:sz w:val="32"/>
          <w:szCs w:val="32"/>
          <w:shd w:val="clear" w:color="auto" w:fill="FFFFFF"/>
        </w:rPr>
        <w:t>。</w:t>
      </w:r>
      <w:r>
        <w:rPr>
          <w:rFonts w:hint="eastAsia" w:ascii="仿宋_GB2312" w:hAnsi="宋体" w:eastAsia="仿宋_GB2312"/>
          <w:sz w:val="32"/>
          <w:szCs w:val="32"/>
        </w:rPr>
        <w:t>附件</w:t>
      </w:r>
      <w:r>
        <w:rPr>
          <w:rFonts w:hint="eastAsia" w:ascii="仿宋_GB2312" w:eastAsia="仿宋_GB2312"/>
          <w:sz w:val="32"/>
          <w:szCs w:val="32"/>
          <w:shd w:val="clear" w:color="auto" w:fill="FFFFFF"/>
        </w:rPr>
        <w:t>所列要素及其项目、内容，是现行</w:t>
      </w:r>
      <w:r>
        <w:rPr>
          <w:rFonts w:hint="eastAsia" w:ascii="仿宋_GB2312" w:hAnsi="宋体" w:eastAsia="仿宋_GB2312"/>
          <w:sz w:val="32"/>
          <w:szCs w:val="32"/>
        </w:rPr>
        <w:t>法律法规制度对</w:t>
      </w:r>
      <w:r>
        <w:rPr>
          <w:rFonts w:hint="eastAsia" w:ascii="仿宋_GB2312" w:eastAsia="仿宋_GB2312"/>
          <w:sz w:val="32"/>
          <w:szCs w:val="32"/>
          <w:shd w:val="clear" w:color="auto" w:fill="FFFFFF"/>
        </w:rPr>
        <w:t>危险化学品企业生产安全事故应急准备的最低要求。</w:t>
      </w:r>
    </w:p>
    <w:p>
      <w:pPr>
        <w:spacing w:line="54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（二）危险化学品企业要结合企业实际，在现有要素及其项目下丰富应急准备内容。可根据实际需要，合理增加应急准备要素并明确具体项目、内容。</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（三）危险化学品企业应加强法律法规制度识别与转化，及时完善应急准备要素及其</w:t>
      </w:r>
      <w:r>
        <w:rPr>
          <w:rFonts w:ascii="仿宋_GB2312" w:hAnsi="宋体" w:eastAsia="仿宋_GB2312"/>
          <w:sz w:val="32"/>
          <w:szCs w:val="32"/>
        </w:rPr>
        <w:t>项目</w:t>
      </w:r>
      <w:r>
        <w:rPr>
          <w:rFonts w:hint="eastAsia" w:ascii="仿宋_GB2312" w:hAnsi="宋体" w:eastAsia="仿宋_GB2312"/>
          <w:sz w:val="32"/>
          <w:szCs w:val="32"/>
        </w:rPr>
        <w:t>、内容和依据，保证生产安全事故应急准备持续符合现行</w:t>
      </w:r>
      <w:r>
        <w:rPr>
          <w:rFonts w:ascii="仿宋_GB2312" w:hAnsi="宋体" w:eastAsia="仿宋_GB2312"/>
          <w:sz w:val="32"/>
          <w:szCs w:val="32"/>
        </w:rPr>
        <w:t>法律法规制度要求</w:t>
      </w:r>
      <w:r>
        <w:rPr>
          <w:rFonts w:hint="eastAsia" w:ascii="仿宋_GB2312" w:hAnsi="宋体" w:eastAsia="仿宋_GB2312"/>
          <w:sz w:val="32"/>
          <w:szCs w:val="32"/>
        </w:rPr>
        <w:t>。</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危险化学品企业应结合实际，建立健全应急准备工作制度，对本指南所提各项应急准备在企业应急管理中的实现路径和方法进行固化，做到应急准备具体化、常态化。</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第六条 </w:t>
      </w:r>
      <w:r>
        <w:rPr>
          <w:rFonts w:hint="eastAsia" w:ascii="仿宋_GB2312" w:hAnsi="宋体" w:eastAsia="仿宋_GB2312"/>
          <w:sz w:val="32"/>
          <w:szCs w:val="32"/>
        </w:rPr>
        <w:t>本指南是危险化学品企业依法开展应急准备工作的重要工具和安全生产应急管理培训的重要内容。危险化学品企业主要负责人要加强组织领导，制定全员培训计划，逐要素开展系统培训。</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第七条 </w:t>
      </w:r>
      <w:r>
        <w:rPr>
          <w:rFonts w:hint="eastAsia" w:ascii="仿宋_GB2312" w:hAnsi="宋体" w:eastAsia="仿宋_GB2312"/>
          <w:sz w:val="32"/>
          <w:szCs w:val="32"/>
        </w:rPr>
        <w:t>危险化学品企业应定期开展多种形式、不同要素的应急准备检查，并将检查情况作为企业奖惩考核的重要依据，不断提高应急准备工作水平。</w:t>
      </w:r>
    </w:p>
    <w:p>
      <w:pPr>
        <w:spacing w:line="540" w:lineRule="exact"/>
        <w:ind w:firstLine="640" w:firstLineChars="200"/>
        <w:rPr>
          <w:rFonts w:ascii="仿宋_GB2312" w:hAnsi="宋体" w:eastAsia="仿宋_GB2312"/>
          <w:sz w:val="32"/>
          <w:szCs w:val="32"/>
        </w:rPr>
      </w:pPr>
      <w:r>
        <w:rPr>
          <w:rFonts w:hint="eastAsia" w:ascii="黑体" w:hAnsi="黑体" w:eastAsia="黑体"/>
          <w:sz w:val="32"/>
          <w:szCs w:val="32"/>
          <w:shd w:val="clear" w:color="auto" w:fill="FFFFFF"/>
        </w:rPr>
        <w:t xml:space="preserve">第八条 </w:t>
      </w:r>
      <w:r>
        <w:rPr>
          <w:rFonts w:hint="eastAsia" w:ascii="仿宋_GB2312" w:hAnsi="宋体" w:eastAsia="仿宋_GB2312"/>
          <w:sz w:val="32"/>
          <w:szCs w:val="32"/>
        </w:rPr>
        <w:t>各级政府应急</w:t>
      </w:r>
      <w:r>
        <w:rPr>
          <w:rFonts w:ascii="仿宋_GB2312" w:hAnsi="宋体" w:eastAsia="仿宋_GB2312"/>
          <w:sz w:val="32"/>
          <w:szCs w:val="32"/>
        </w:rPr>
        <w:t>管理部门</w:t>
      </w:r>
      <w:r>
        <w:rPr>
          <w:rFonts w:hint="eastAsia" w:ascii="仿宋_GB2312" w:hAnsi="宋体" w:eastAsia="仿宋_GB2312"/>
          <w:sz w:val="32"/>
          <w:szCs w:val="32"/>
        </w:rPr>
        <w:t>和其他负有危险化学品安全生产监督管理职责的部门、危险化学品企业上级公司（集团）可根据附件所列各要素及其项目、内容和依据，灵活选用座谈、查阅资料、现场检查、口头提问、实际操作、书面测试等方法，</w:t>
      </w:r>
      <w:r>
        <w:rPr>
          <w:rFonts w:ascii="仿宋_GB2312" w:hAnsi="宋体" w:eastAsia="仿宋_GB2312"/>
          <w:sz w:val="32"/>
          <w:szCs w:val="32"/>
        </w:rPr>
        <w:t>对危险化学品企业应急准备工作</w:t>
      </w:r>
      <w:r>
        <w:rPr>
          <w:rFonts w:hint="eastAsia" w:ascii="仿宋_GB2312" w:hAnsi="宋体" w:eastAsia="仿宋_GB2312"/>
          <w:sz w:val="32"/>
          <w:szCs w:val="32"/>
        </w:rPr>
        <w:t>进行监督</w:t>
      </w:r>
      <w:r>
        <w:rPr>
          <w:rFonts w:ascii="仿宋_GB2312" w:hAnsi="宋体" w:eastAsia="仿宋_GB2312"/>
          <w:sz w:val="32"/>
          <w:szCs w:val="32"/>
        </w:rPr>
        <w:t>检查</w:t>
      </w:r>
      <w:r>
        <w:rPr>
          <w:rFonts w:hint="eastAsia" w:ascii="仿宋_GB2312" w:hAnsi="宋体" w:eastAsia="仿宋_GB2312"/>
          <w:sz w:val="32"/>
          <w:szCs w:val="32"/>
        </w:rPr>
        <w:t>。</w:t>
      </w:r>
    </w:p>
    <w:p>
      <w:pPr>
        <w:spacing w:line="540" w:lineRule="exact"/>
        <w:ind w:firstLine="640" w:firstLineChars="200"/>
        <w:rPr>
          <w:rFonts w:ascii="黑体" w:hAnsi="黑体" w:eastAsia="黑体"/>
          <w:sz w:val="32"/>
          <w:szCs w:val="32"/>
          <w:shd w:val="clear" w:color="auto" w:fill="FFFFFF"/>
        </w:rPr>
      </w:pPr>
      <w:r>
        <w:rPr>
          <w:rFonts w:ascii="黑体" w:hAnsi="黑体" w:eastAsia="黑体"/>
          <w:sz w:val="32"/>
          <w:szCs w:val="32"/>
          <w:shd w:val="clear" w:color="auto" w:fill="FFFFFF"/>
        </w:rPr>
        <w:t>第</w:t>
      </w:r>
      <w:r>
        <w:rPr>
          <w:rFonts w:hint="eastAsia" w:ascii="黑体" w:hAnsi="黑体" w:eastAsia="黑体"/>
          <w:sz w:val="32"/>
          <w:szCs w:val="32"/>
          <w:shd w:val="clear" w:color="auto" w:fill="FFFFFF"/>
        </w:rPr>
        <w:t>九</w:t>
      </w:r>
      <w:r>
        <w:rPr>
          <w:rFonts w:ascii="黑体" w:hAnsi="黑体" w:eastAsia="黑体"/>
          <w:sz w:val="32"/>
          <w:szCs w:val="32"/>
          <w:shd w:val="clear" w:color="auto" w:fill="FFFFFF"/>
        </w:rPr>
        <w:t>条</w:t>
      </w:r>
      <w:r>
        <w:rPr>
          <w:rFonts w:hint="eastAsia" w:ascii="黑体" w:hAnsi="黑体" w:eastAsia="黑体"/>
          <w:sz w:val="32"/>
          <w:szCs w:val="32"/>
          <w:shd w:val="clear" w:color="auto" w:fill="FFFFFF"/>
        </w:rPr>
        <w:t xml:space="preserve"> </w:t>
      </w:r>
      <w:r>
        <w:rPr>
          <w:rFonts w:hint="eastAsia" w:ascii="仿宋_GB2312" w:hAnsi="宋体" w:eastAsia="仿宋_GB2312"/>
          <w:sz w:val="32"/>
          <w:szCs w:val="32"/>
        </w:rPr>
        <w:t>本指南下列用语的含义：</w:t>
      </w:r>
    </w:p>
    <w:p>
      <w:pPr>
        <w:spacing w:line="540" w:lineRule="exact"/>
        <w:ind w:firstLine="640" w:firstLineChars="200"/>
        <w:rPr>
          <w:rFonts w:ascii="仿宋_GB2312" w:eastAsia="仿宋_GB2312"/>
          <w:sz w:val="32"/>
          <w:szCs w:val="32"/>
          <w:shd w:val="clear" w:color="auto" w:fill="FFFFFF"/>
        </w:rPr>
      </w:pPr>
      <w:r>
        <w:rPr>
          <w:rFonts w:hint="eastAsia" w:ascii="仿宋_GB2312" w:eastAsia="仿宋_GB2312"/>
          <w:sz w:val="32"/>
          <w:szCs w:val="32"/>
          <w:shd w:val="clear" w:color="auto" w:fill="FFFFFF"/>
        </w:rPr>
        <w:t>应急准备，是指以风险评估为基础，以先进思想理念为引领，以防范和应对生产安全事故为目的，针对事故监测预警、应急响应、应急救援及应急准备恢复等各个环节，在事故发生前开展的思想准备、预案准备、机制准备、资源准备等工作的总称。</w:t>
      </w:r>
    </w:p>
    <w:p>
      <w:pPr>
        <w:spacing w:line="540" w:lineRule="exact"/>
        <w:ind w:firstLine="640" w:firstLineChars="200"/>
        <w:rPr>
          <w:rFonts w:ascii="仿宋_GB2312" w:hAnsi="宋体" w:eastAsia="仿宋_GB2312"/>
          <w:sz w:val="32"/>
          <w:szCs w:val="32"/>
        </w:rPr>
      </w:pPr>
      <w:r>
        <w:rPr>
          <w:rFonts w:hint="eastAsia" w:ascii="仿宋_GB2312" w:eastAsia="仿宋_GB2312"/>
          <w:sz w:val="32"/>
          <w:szCs w:val="32"/>
          <w:shd w:val="clear" w:color="auto" w:fill="FFFFFF"/>
        </w:rPr>
        <w:t>风险评估，是指依据《生产过程危险和有害因素分类与代</w:t>
      </w:r>
      <w:r>
        <w:rPr>
          <w:rFonts w:hint="eastAsia" w:ascii="仿宋_GB2312" w:hAnsi="宋体" w:eastAsia="仿宋_GB2312"/>
          <w:sz w:val="32"/>
          <w:szCs w:val="32"/>
        </w:rPr>
        <w:t>码》《危险化学品重大危险源辨识》</w:t>
      </w:r>
      <w:r>
        <w:rPr>
          <w:rFonts w:ascii="仿宋_GB2312" w:hAnsi="宋体" w:eastAsia="仿宋_GB2312"/>
          <w:sz w:val="32"/>
          <w:szCs w:val="32"/>
        </w:rPr>
        <w:t>《职业危害因素分类目录》</w:t>
      </w:r>
      <w:r>
        <w:rPr>
          <w:rFonts w:hint="eastAsia" w:ascii="仿宋_GB2312" w:hAnsi="宋体" w:eastAsia="仿宋_GB2312"/>
          <w:sz w:val="32"/>
          <w:szCs w:val="32"/>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情景构建，是指基于风险辨识，分析和评价小概率、高后果事故的风险评估技术。</w:t>
      </w:r>
    </w:p>
    <w:p>
      <w:pPr>
        <w:spacing w:line="540" w:lineRule="exact"/>
        <w:ind w:firstLine="640" w:firstLineChars="200"/>
        <w:rPr>
          <w:rFonts w:ascii="仿宋_GB2312" w:hAnsi="宋体" w:eastAsia="仿宋_GB2312"/>
          <w:sz w:val="32"/>
          <w:szCs w:val="32"/>
        </w:rPr>
      </w:pPr>
    </w:p>
    <w:p>
      <w:pPr>
        <w:spacing w:line="540" w:lineRule="exact"/>
        <w:ind w:firstLine="640" w:firstLineChars="200"/>
        <w:rPr>
          <w:rFonts w:ascii="仿宋_GB2312" w:eastAsia="仿宋_GB2312"/>
          <w:sz w:val="15"/>
          <w:szCs w:val="15"/>
        </w:rPr>
      </w:pPr>
      <w:r>
        <w:rPr>
          <w:rFonts w:hint="eastAsia" w:ascii="仿宋_GB2312" w:hAnsi="宋体" w:eastAsia="仿宋_GB2312"/>
          <w:sz w:val="32"/>
          <w:szCs w:val="32"/>
        </w:rPr>
        <w:t>附件：危险化学品企业生产安全事故应急准备工作表</w:t>
      </w:r>
    </w:p>
    <w:p>
      <w:pPr>
        <w:rPr>
          <w:rFonts w:ascii="黑体" w:hAnsi="黑体" w:eastAsia="黑体" w:cs="宋体"/>
          <w:kern w:val="0"/>
          <w:sz w:val="32"/>
          <w:szCs w:val="32"/>
        </w:rPr>
        <w:sectPr>
          <w:footerReference r:id="rId3" w:type="default"/>
          <w:pgSz w:w="11906" w:h="16838"/>
          <w:pgMar w:top="1701" w:right="1588" w:bottom="1474" w:left="1588" w:header="0" w:footer="907" w:gutter="0"/>
          <w:pgNumType w:start="1"/>
          <w:cols w:space="0" w:num="1"/>
          <w:docGrid w:linePitch="312" w:charSpace="0"/>
        </w:sectPr>
      </w:pPr>
    </w:p>
    <w:p>
      <w:pPr>
        <w:rPr>
          <w:rFonts w:ascii="仿宋_GB2312" w:hAnsi="宋体" w:eastAsia="仿宋_GB2312"/>
          <w:sz w:val="32"/>
          <w:szCs w:val="32"/>
        </w:rPr>
      </w:pPr>
      <w:r>
        <w:rPr>
          <w:rFonts w:hint="eastAsia" w:ascii="黑体" w:hAnsi="黑体" w:eastAsia="黑体" w:cs="宋体"/>
          <w:kern w:val="0"/>
          <w:sz w:val="32"/>
          <w:szCs w:val="32"/>
        </w:rPr>
        <w:t>附件</w:t>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widowControl/>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要素1：思想理念</w:t>
      </w:r>
    </w:p>
    <w:tbl>
      <w:tblPr>
        <w:tblStyle w:val="11"/>
        <w:tblW w:w="13879" w:type="dxa"/>
        <w:tblInd w:w="0" w:type="dxa"/>
        <w:tblLayout w:type="fixed"/>
        <w:tblCellMar>
          <w:top w:w="0" w:type="dxa"/>
          <w:left w:w="108" w:type="dxa"/>
          <w:bottom w:w="0" w:type="dxa"/>
          <w:right w:w="108" w:type="dxa"/>
        </w:tblCellMar>
      </w:tblPr>
      <w:tblGrid>
        <w:gridCol w:w="666"/>
        <w:gridCol w:w="1199"/>
        <w:gridCol w:w="4444"/>
        <w:gridCol w:w="7570"/>
      </w:tblGrid>
      <w:tr>
        <w:tblPrEx>
          <w:tblCellMar>
            <w:top w:w="0" w:type="dxa"/>
            <w:left w:w="108" w:type="dxa"/>
            <w:bottom w:w="0" w:type="dxa"/>
            <w:right w:w="108" w:type="dxa"/>
          </w:tblCellMar>
        </w:tblPrEx>
        <w:trPr>
          <w:trHeight w:val="394"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4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540"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安全发展红线意识</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1.树立安全发展理念，弘扬生命至上、安全第一的思想，倡导生命至上、科学救援的应急救援理念，发展决不能以牺牲安全为代价;</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2.摆正应急管理与安全生产的关系，应急管理是安全生产的最后一道防线，应充分发挥预防、减少和消除事故等多种功能；</w:t>
            </w:r>
            <w:r>
              <w:rPr>
                <w:rFonts w:ascii="楷体_GB2312" w:hAnsi="宋体" w:eastAsia="楷体_GB2312" w:cs="宋体"/>
                <w:kern w:val="0"/>
                <w:szCs w:val="21"/>
              </w:rPr>
              <w:t xml:space="preserve">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3.坚持“救早救小”原则，提高第一时间响应效率；</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4.明确“救人”为应急救援的首要任务，在救援过程中，确保救援人员安全，遇到突发情况危及救援人员生命安全时，迅速撤出救援人员。</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1.习近平总书记对全国安全生产监管监察系统先进集体和先进工作者表彰大会（2016年10月31日）作出的指示。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3.《中共中央 国务院关于推进安全生产领域改革发展的意见》有关要求。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4.《国务院安委会关于进一步加强生产安全事故应急处置工作的通知》（安委〔2013〕8号）三、进一步规范事故现场应急处置（四）确保安全有效施救。</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5.《中华人民共和国安全生产法》第三条。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6.《危险化学品事故应急救援指挥导则》（AQ/T 3052-2015）5.3.1.3。</w:t>
            </w:r>
          </w:p>
        </w:tc>
      </w:tr>
      <w:tr>
        <w:tblPrEx>
          <w:tblCellMar>
            <w:top w:w="0" w:type="dxa"/>
            <w:left w:w="108" w:type="dxa"/>
            <w:bottom w:w="0" w:type="dxa"/>
            <w:right w:w="108" w:type="dxa"/>
          </w:tblCellMar>
        </w:tblPrEx>
        <w:trPr>
          <w:trHeight w:val="2725"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风险防控底线思维</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1.坚持底线思维，制订有效的防控措施,化解重大安全风险，遏制重特大事故发生;</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2.科学设定安全生产应急工作指标。</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2.《中共中央 国务院关于推进安全生产领域改革发展的意见》</w:t>
            </w:r>
            <w:r>
              <w:rPr>
                <w:rFonts w:ascii="楷体_GB2312" w:hAnsi="宋体" w:eastAsia="楷体_GB2312" w:cs="宋体"/>
                <w:kern w:val="0"/>
                <w:szCs w:val="21"/>
              </w:rPr>
              <w:t>(七)健全责任考核机制。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3.《中华人民共和国安全生产法》第三条。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4.《中华人民共和国突发事件应对法》第五条。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5.《危险化学品安全管理条例》第四条。</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要素1：思想理念 （续）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987"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应急管理法治化</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1.依法依规建立健全各项应急管理制度；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2.依法依规开展各项应急工作。</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2.《危险化学品安全管理条例》第四条。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tc>
      </w:tr>
      <w:tr>
        <w:tblPrEx>
          <w:tblCellMar>
            <w:top w:w="0" w:type="dxa"/>
            <w:left w:w="108" w:type="dxa"/>
            <w:bottom w:w="0" w:type="dxa"/>
            <w:right w:w="108" w:type="dxa"/>
          </w:tblCellMar>
        </w:tblPrEx>
        <w:trPr>
          <w:trHeight w:val="49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生命至上科学救援</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1.深入开展风险评估，通过风险辨识、分析、评价，掌握事故的性质、特点和可能造成的危害；</w:t>
            </w:r>
          </w:p>
          <w:p>
            <w:pPr>
              <w:widowControl/>
              <w:jc w:val="left"/>
              <w:rPr>
                <w:rFonts w:ascii="楷体_GB2312" w:hAnsi="宋体" w:eastAsia="楷体_GB2312" w:cs="宋体"/>
                <w:kern w:val="0"/>
                <w:szCs w:val="21"/>
              </w:rPr>
            </w:pPr>
            <w:r>
              <w:rPr>
                <w:rFonts w:ascii="楷体_GB2312" w:hAnsi="宋体" w:eastAsia="楷体_GB2312" w:cs="宋体"/>
                <w:kern w:val="0"/>
                <w:szCs w:val="21"/>
              </w:rPr>
              <w:t>2</w:t>
            </w:r>
            <w:r>
              <w:rPr>
                <w:rFonts w:hint="eastAsia" w:ascii="楷体_GB2312" w:hAnsi="宋体" w:eastAsia="楷体_GB2312" w:cs="宋体"/>
                <w:kern w:val="0"/>
                <w:szCs w:val="21"/>
              </w:rPr>
              <w:t>.</w:t>
            </w:r>
            <w:r>
              <w:rPr>
                <w:rFonts w:ascii="楷体_GB2312" w:hAnsi="宋体" w:eastAsia="楷体_GB2312" w:cs="宋体"/>
                <w:kern w:val="0"/>
                <w:szCs w:val="21"/>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ascii="楷体_GB2312" w:hAnsi="宋体" w:eastAsia="楷体_GB2312" w:cs="宋体"/>
                <w:kern w:val="0"/>
                <w:szCs w:val="21"/>
              </w:rPr>
              <w:t>3</w:t>
            </w:r>
            <w:r>
              <w:rPr>
                <w:rFonts w:hint="eastAsia" w:ascii="楷体_GB2312" w:hAnsi="宋体" w:eastAsia="楷体_GB2312" w:cs="宋体"/>
                <w:kern w:val="0"/>
                <w:szCs w:val="21"/>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pPr>
              <w:widowControl/>
              <w:jc w:val="left"/>
              <w:rPr>
                <w:rFonts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.各种预案具有科学性、针对性和可操作性；</w:t>
            </w:r>
          </w:p>
          <w:p>
            <w:pPr>
              <w:jc w:val="left"/>
              <w:rPr>
                <w:rFonts w:ascii="楷体_GB2312" w:hAnsi="宋体" w:eastAsia="楷体_GB2312" w:cs="宋体"/>
                <w:kern w:val="0"/>
                <w:szCs w:val="21"/>
              </w:rPr>
            </w:pPr>
            <w:r>
              <w:rPr>
                <w:rFonts w:ascii="楷体_GB2312" w:hAnsi="宋体" w:eastAsia="楷体_GB2312" w:cs="宋体"/>
                <w:kern w:val="0"/>
                <w:szCs w:val="21"/>
              </w:rPr>
              <w:t>5</w:t>
            </w:r>
            <w:r>
              <w:rPr>
                <w:rFonts w:hint="eastAsia" w:ascii="楷体_GB2312" w:hAnsi="宋体" w:eastAsia="楷体_GB2312" w:cs="宋体"/>
                <w:kern w:val="0"/>
                <w:szCs w:val="21"/>
              </w:rPr>
              <w:t>.各项应急准备措施落实到位。</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1.《国务院关于进一步加强企业安全生产工作的通知》</w:t>
            </w:r>
            <w:r>
              <w:rPr>
                <w:rFonts w:ascii="楷体_GB2312" w:hAnsi="宋体" w:eastAsia="楷体_GB2312" w:cs="宋体"/>
                <w:kern w:val="0"/>
                <w:szCs w:val="21"/>
              </w:rPr>
              <w:t>17.完善企业应急预案。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3.《中华人民共和国突发事件应对法》第十八条。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4.《生产安全事故应急条例》第五条、第六条。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5.《生产安全事故应急预案管理办法》（国家安全生产监督管理总局令第88号，根据应急管理部令第2号修正）第七条、第十条。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pPr>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要素2：组织与职责</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63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0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应急组织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1.设置负有应急管理职责的安全生产管理机构或配备负有应急管理职责的专职安全生产人员；</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中央企业应当</w:t>
            </w:r>
            <w:r>
              <w:rPr>
                <w:rFonts w:hint="eastAsia" w:ascii="楷体_GB2312" w:hAnsi="宋体" w:eastAsia="楷体_GB2312" w:cs="宋体"/>
                <w:kern w:val="0"/>
                <w:szCs w:val="21"/>
              </w:rPr>
              <w:t>按规定</w:t>
            </w:r>
            <w:r>
              <w:rPr>
                <w:rFonts w:ascii="楷体_GB2312" w:hAnsi="宋体" w:eastAsia="楷体_GB2312" w:cs="宋体"/>
                <w:kern w:val="0"/>
                <w:szCs w:val="21"/>
              </w:rPr>
              <w:t>建立健全应急管理组织体系，明确本企业应急管理的综合协调部门和各类突发事件分管部门的职责</w:t>
            </w:r>
            <w:r>
              <w:rPr>
                <w:rFonts w:hint="eastAsia" w:ascii="楷体_GB2312" w:hAnsi="宋体" w:eastAsia="楷体_GB2312" w:cs="宋体"/>
                <w:kern w:val="0"/>
                <w:szCs w:val="21"/>
              </w:rPr>
              <w:t>；</w:t>
            </w:r>
          </w:p>
          <w:p>
            <w:pPr>
              <w:jc w:val="left"/>
              <w:rPr>
                <w:rFonts w:ascii="楷体_GB2312" w:hAnsi="宋体" w:eastAsia="楷体_GB2312" w:cs="宋体"/>
                <w:kern w:val="0"/>
                <w:szCs w:val="21"/>
              </w:rPr>
            </w:pPr>
            <w:r>
              <w:rPr>
                <w:rFonts w:hint="eastAsia" w:ascii="楷体_GB2312" w:hAnsi="宋体" w:eastAsia="楷体_GB2312" w:cs="宋体"/>
                <w:kern w:val="0"/>
                <w:szCs w:val="21"/>
              </w:rPr>
              <w:t>3.规模较大、危险性较高的易燃易爆物品、危险化学品等危险物品的生产、经营、储存单位应当成立应急处置技术组，实行24小时应急值班；</w:t>
            </w:r>
          </w:p>
          <w:p>
            <w:pPr>
              <w:jc w:val="left"/>
              <w:rPr>
                <w:rFonts w:ascii="楷体_GB2312" w:hAnsi="宋体" w:eastAsia="楷体_GB2312" w:cs="宋体"/>
                <w:kern w:val="0"/>
                <w:szCs w:val="21"/>
              </w:rPr>
            </w:pPr>
            <w:r>
              <w:rPr>
                <w:rFonts w:hint="eastAsia" w:ascii="楷体_GB2312" w:hAnsi="宋体" w:eastAsia="楷体_GB2312" w:cs="宋体"/>
                <w:kern w:val="0"/>
                <w:szCs w:val="21"/>
              </w:rPr>
              <w:t>4.建立包括工艺、设备、电气、消（气）防、安全、环保等专业的应急专家库，为处置突发事件提供技术支撑。</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2.《中华人民共和国安全生产法》第五条、第二十一条。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4.《中央企业应急管理暂行办法》（国务院国有资产监督管理委员会令31号）第十一条。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5.《企业安全生产标准化基本规范》（GB/T 33000-2016）5.6.1.1 应急救援组织。</w:t>
            </w:r>
          </w:p>
          <w:p>
            <w:pPr>
              <w:jc w:val="left"/>
              <w:rPr>
                <w:rFonts w:ascii="楷体_GB2312" w:hAnsi="宋体" w:eastAsia="楷体_GB2312" w:cs="宋体"/>
                <w:kern w:val="0"/>
                <w:szCs w:val="21"/>
              </w:rPr>
            </w:pPr>
            <w:r>
              <w:rPr>
                <w:rFonts w:hint="eastAsia" w:ascii="楷体_GB2312" w:hAnsi="宋体" w:eastAsia="楷体_GB2312" w:cs="宋体"/>
                <w:kern w:val="0"/>
                <w:szCs w:val="21"/>
              </w:rPr>
              <w:t>6.《生产经营单位生产安全事故应急预案编制导则》（GB/T29639-2013）6.8.2。7.《国家安全监管总局关于加强科学施救提高生产安全事故灾难应急救援水平的指导意见》（安监总应急〔2012〕147号）（八）完善安全生产应急响应机制。</w:t>
            </w:r>
          </w:p>
          <w:p>
            <w:pPr>
              <w:jc w:val="left"/>
              <w:rPr>
                <w:rFonts w:ascii="楷体_GB2312" w:hAnsi="宋体" w:eastAsia="楷体_GB2312" w:cs="宋体"/>
                <w:kern w:val="0"/>
                <w:szCs w:val="21"/>
              </w:rPr>
            </w:pPr>
            <w:r>
              <w:rPr>
                <w:rFonts w:hint="eastAsia" w:ascii="楷体_GB2312" w:hAnsi="宋体" w:eastAsia="楷体_GB2312" w:cs="宋体"/>
                <w:kern w:val="0"/>
                <w:szCs w:val="21"/>
              </w:rPr>
              <w:t>8.《国家安全监管总局关于加强化工过程安全管理的指导意见》（安监总管三〔2013〕88号）（二十六）提高应急响应能力。</w:t>
            </w:r>
          </w:p>
        </w:tc>
      </w:tr>
      <w:tr>
        <w:tblPrEx>
          <w:tblCellMar>
            <w:top w:w="0" w:type="dxa"/>
            <w:left w:w="108" w:type="dxa"/>
            <w:bottom w:w="0" w:type="dxa"/>
            <w:right w:w="108" w:type="dxa"/>
          </w:tblCellMar>
        </w:tblPrEx>
        <w:trPr>
          <w:trHeight w:val="312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职责任务</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 建立健全各级生产安全事故应急工作责任制；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2.企业主要负责人对本单位的生产安全事故应急工作全面负责；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3.法定代表人和实际控制人同为安全生产第一责任人，主要技术负责人负有安全生产技术决策和指挥权；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4.各分管负责人应当按照职责分工落实应急预案规定的职责；</w:t>
            </w:r>
          </w:p>
          <w:p>
            <w:pPr>
              <w:jc w:val="left"/>
              <w:rPr>
                <w:rFonts w:ascii="楷体_GB2312" w:hAnsi="宋体" w:eastAsia="楷体_GB2312" w:cs="宋体"/>
                <w:kern w:val="0"/>
                <w:szCs w:val="21"/>
              </w:rPr>
            </w:pPr>
            <w:r>
              <w:rPr>
                <w:rFonts w:hint="eastAsia" w:ascii="楷体_GB2312" w:hAnsi="宋体" w:eastAsia="楷体_GB2312" w:cs="宋体"/>
                <w:kern w:val="0"/>
                <w:szCs w:val="21"/>
              </w:rPr>
              <w:t>5.在应急制度、预案中对组织机构、人员及职责进行明确规定。</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p>
            <w:pPr>
              <w:widowControl/>
              <w:jc w:val="left"/>
              <w:rPr>
                <w:rFonts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《生产安全事故应急预案管理办法》（国家安全生产监督管理总局令第88号，根据应急管理部令第2号修正）第五条。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5.《中央企业应急管理暂行办法》（国务院国有资产监督管理委员会令31号）第十一条。</w:t>
            </w:r>
          </w:p>
        </w:tc>
      </w:tr>
    </w:tbl>
    <w:p>
      <w:pPr>
        <w:widowControl/>
        <w:jc w:val="center"/>
        <w:rPr>
          <w:rFonts w:ascii="仿宋_GB2312" w:hAnsi="宋体" w:eastAsia="仿宋_GB2312"/>
          <w:sz w:val="32"/>
          <w:szCs w:val="32"/>
        </w:rPr>
      </w:pPr>
    </w:p>
    <w:p>
      <w:pPr>
        <w:widowControl/>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要素3：法律法规</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53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0"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法律法规识别</w:t>
            </w: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1.建立安全生产应急管理法律、法规、标准、规范的管理制度，明确主管部门，确定获取的渠道、方式；</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2.及时识别和获取适用、有效的法律法规、标准规范；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3.建立法律法规、标准规范清单和文本数据库，并及时更新。</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法规标准识别。2.《危险化学品从业单位安全生产标准化评审标准》（安监总管三〔2011〕93号）要素一。</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10" w:type="dxa"/>
            <w:shd w:val="clear" w:color="000000" w:fill="FFFFFF"/>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shd w:val="clear" w:color="000000" w:fill="FFFFFF"/>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法律法规转化</w:t>
            </w:r>
          </w:p>
        </w:tc>
        <w:tc>
          <w:tcPr>
            <w:tcW w:w="4536" w:type="dxa"/>
            <w:shd w:val="clear" w:color="000000" w:fill="FFFFFF"/>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1.将识别出的应急法律、法规、标准、规范要求，转化为企业应急管理制度、工作措施或工作任务等；</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2.对相关人员进行培训。</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2.《危险化学品从业单位安全生产标准化评审标准》（安监总管三〔2011〕93号）要素四。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建立应急管理制度</w:t>
            </w:r>
          </w:p>
          <w:p>
            <w:pPr>
              <w:jc w:val="center"/>
              <w:rPr>
                <w:rFonts w:ascii="楷体_GB2312" w:hAnsi="宋体" w:eastAsia="楷体_GB2312" w:cs="宋体"/>
                <w:kern w:val="0"/>
                <w:szCs w:val="21"/>
              </w:rPr>
            </w:pP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1.应建立健全应急值班值守、信息报告、应急投入、物资保障、人员培训及预案管理（定期评估、修订、备案、公布）等应急救援管理制度，应明确并公示本企业应急领导小组及联系方式等信息；</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2.根据《生产安全事故应急预案管理办法》及有关标准、规定编制应急预案管理制度；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3.建立应急救援物资的有关制度和记录：物资清单、物资使用管理制度、物资测试检修制度、物资租用制度、资料管理制度、物资调用和使用记录、物资检查维护、报废及更新记录。</w:t>
            </w:r>
          </w:p>
        </w:tc>
        <w:tc>
          <w:tcPr>
            <w:tcW w:w="7654" w:type="dxa"/>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2.《生产安全事故应急预案管理办法》（国家安全生产监督管理总局令第88号，根据应急管理部令第2号修正）第三十五条。</w:t>
            </w:r>
          </w:p>
          <w:p>
            <w:pPr>
              <w:widowControl/>
              <w:rPr>
                <w:rFonts w:ascii="楷体_GB2312" w:hAnsi="宋体" w:eastAsia="楷体_GB2312" w:cs="宋体"/>
                <w:kern w:val="0"/>
                <w:szCs w:val="21"/>
              </w:rPr>
            </w:pPr>
            <w:r>
              <w:rPr>
                <w:rFonts w:hint="eastAsia" w:ascii="楷体_GB2312" w:hAnsi="宋体" w:eastAsia="楷体_GB2312" w:cs="宋体"/>
                <w:kern w:val="0"/>
                <w:szCs w:val="21"/>
              </w:rPr>
              <w:t>3.《中央企业应急管理暂行办法》(国务院国有资产监督管理委员会令31号)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4.《危险化学品单位应急救援物资配备要求》（GB30077-2013）9.1。</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5.《危险化学品应急救援管理人员培训及考核要求》（AQ/T3043-2013）4 培训要求。</w:t>
            </w:r>
          </w:p>
          <w:p>
            <w:pPr>
              <w:widowControl/>
              <w:rPr>
                <w:rFonts w:ascii="楷体_GB2312" w:hAnsi="宋体" w:eastAsia="楷体_GB2312" w:cs="宋体"/>
                <w:kern w:val="0"/>
                <w:szCs w:val="21"/>
              </w:rPr>
            </w:pPr>
            <w:r>
              <w:rPr>
                <w:rFonts w:hint="eastAsia" w:ascii="楷体_GB2312" w:hAnsi="宋体" w:eastAsia="楷体_GB2312" w:cs="宋体"/>
                <w:kern w:val="0"/>
                <w:szCs w:val="21"/>
              </w:rPr>
              <w:t>6.《国务院安委会办公室关于贯彻落实国务院&lt;通知&gt;精神进一步加强安全生产应急救援体系建设的实施意见》（安委办〔2010〕25号）（十五）进一步加强安全生产应急工作法制建设。</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7.《危险化学品从业单位安全生产标准化评审标准》（安监总管三〔2011〕93号）要素四。</w:t>
            </w:r>
          </w:p>
        </w:tc>
      </w:tr>
    </w:tbl>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要素4：风险评估</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0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风险辨识</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运用标准比对（如《生产过程危险和有害因素分类与代码》《危险化学品重大危险源辨识》</w:t>
            </w:r>
            <w:r>
              <w:rPr>
                <w:rFonts w:ascii="楷体_GB2312" w:hAnsi="宋体" w:eastAsia="楷体_GB2312" w:cs="宋体"/>
                <w:kern w:val="0"/>
                <w:szCs w:val="21"/>
              </w:rPr>
              <w:t>《职业病危害因素分类目录》</w:t>
            </w:r>
            <w:r>
              <w:rPr>
                <w:rFonts w:hint="eastAsia" w:ascii="楷体_GB2312" w:hAnsi="宋体" w:eastAsia="楷体_GB2312" w:cs="宋体"/>
                <w:kern w:val="0"/>
                <w:szCs w:val="21"/>
              </w:rPr>
              <w:t>）、检查表、风险矩阵等方法，辨识危险有害因素、风险源、可能的事故及原因、后果等。</w:t>
            </w:r>
          </w:p>
        </w:tc>
        <w:tc>
          <w:tcPr>
            <w:tcW w:w="765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6.《风险管理 风险评估技术》（GB/T27921-2011）6风险评估技术的选择。</w:t>
            </w:r>
          </w:p>
        </w:tc>
      </w:tr>
      <w:tr>
        <w:tblPrEx>
          <w:tblCellMar>
            <w:top w:w="0" w:type="dxa"/>
            <w:left w:w="108" w:type="dxa"/>
            <w:bottom w:w="0" w:type="dxa"/>
            <w:right w:w="108" w:type="dxa"/>
          </w:tblCellMar>
        </w:tblPrEx>
        <w:trPr>
          <w:trHeight w:val="1818"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风险分析</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根据风险分析的目的、获得的信息数据和资源，采用定性、定量或定性、定量相结合的方法，对辨识出的风险后果的严重性、发生的可能性进行分析，为风险评价和应对提供支持。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一般情况下，首先采取定性分析，初步了解风险等级和揭示主要风险。</w:t>
            </w:r>
          </w:p>
        </w:tc>
        <w:tc>
          <w:tcPr>
            <w:tcW w:w="7654"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3.《中央企业应急管理暂行办法》(国务院国有资产监督管理委员会令31号) 第十四条。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tc>
      </w:tr>
      <w:tr>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风险评价</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1.确定风险等级，根据可接受风险程度，提出针对性的风险防控措施；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3.《危险化学品重大危险源监督管理暂行规定》（国家安全生产监督管理总局令第40号，根据国家安全监管总局令第79号修正）第十四条。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5.《生产经营单位生产安全事故应急预案编制导则》（GB/T 29639-2013)4.4风险评估。</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6.《风险管理 原则与实施指南》（GB/T24353-2009）5.3风险评估。</w:t>
            </w:r>
          </w:p>
        </w:tc>
      </w:tr>
      <w:tr>
        <w:tblPrEx>
          <w:tblCellMar>
            <w:top w:w="0" w:type="dxa"/>
            <w:left w:w="108" w:type="dxa"/>
            <w:bottom w:w="0" w:type="dxa"/>
            <w:right w:w="108" w:type="dxa"/>
          </w:tblCellMar>
        </w:tblPrEx>
        <w:trPr>
          <w:trHeight w:val="74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情景构建</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运用情景构建技术，准确揭示本企业小概率、高后果的“巨灾事故”。</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《风险管理 风险评估技术》（GB/T27921-2011）附录B（资料性附录）风险评估技术B.4情景分析。</w:t>
            </w:r>
          </w:p>
        </w:tc>
      </w:tr>
    </w:tbl>
    <w:p>
      <w:pPr>
        <w:widowControl/>
        <w:jc w:val="left"/>
        <w:rPr>
          <w:rFonts w:ascii="楷体_GB2312" w:hAnsi="宋体" w:eastAsia="楷体_GB2312" w:cs="宋体"/>
          <w:kern w:val="0"/>
          <w:szCs w:val="21"/>
        </w:rPr>
      </w:pP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w:t>
      </w:r>
    </w:p>
    <w:tbl>
      <w:tblPr>
        <w:tblStyle w:val="11"/>
        <w:tblW w:w="14034" w:type="dxa"/>
        <w:tblInd w:w="-318" w:type="dxa"/>
        <w:tblLayout w:type="fixed"/>
        <w:tblCellMar>
          <w:top w:w="0" w:type="dxa"/>
          <w:left w:w="108" w:type="dxa"/>
          <w:bottom w:w="0" w:type="dxa"/>
          <w:right w:w="108" w:type="dxa"/>
        </w:tblCellMar>
      </w:tblPr>
      <w:tblGrid>
        <w:gridCol w:w="710"/>
        <w:gridCol w:w="1137"/>
        <w:gridCol w:w="5950"/>
        <w:gridCol w:w="6237"/>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5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749"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widowControl/>
              <w:jc w:val="center"/>
              <w:rPr>
                <w:rFonts w:ascii="楷体_GB2312" w:hAnsi="宋体" w:eastAsia="楷体_GB2312" w:cs="宋体"/>
                <w:kern w:val="0"/>
                <w:szCs w:val="21"/>
              </w:rPr>
            </w:pP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1.企业应成立应急预案编制工作小组：由本单位有关负责人任组长，吸收与应急预案有关的职能部门和单位的人员，以及有现场处置经验的人员、专家参加。</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1.《中华人民共和国安全生产法》第十八条、第二十二条。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2.《生产安全事故应急预案管理办法》（国家安全生产监督管理总局令第88号，根据应急管理部令第2号修正）第九条、第三十五条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w:t>
            </w:r>
          </w:p>
        </w:tc>
      </w:tr>
      <w:tr>
        <w:tblPrEx>
          <w:tblCellMar>
            <w:top w:w="0" w:type="dxa"/>
            <w:left w:w="108" w:type="dxa"/>
            <w:bottom w:w="0" w:type="dxa"/>
            <w:right w:w="108" w:type="dxa"/>
          </w:tblCellMar>
        </w:tblPrEx>
        <w:trPr>
          <w:trHeight w:val="1111"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2.确定应急预案编制原则与要点：应当遵循以人为本、依法依规、符合实际、注重实效的原则，以应急处置为核心，明确应急职责，规范应急程序，细化保障措施。</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《生产安全事故应急预案管理办法》（国家安全生产监督管理总局令第88号，根据应急管理部令第2号修正）第七条。</w:t>
            </w:r>
          </w:p>
        </w:tc>
      </w:tr>
      <w:tr>
        <w:tblPrEx>
          <w:tblCellMar>
            <w:top w:w="0" w:type="dxa"/>
            <w:left w:w="108" w:type="dxa"/>
            <w:bottom w:w="0" w:type="dxa"/>
            <w:right w:w="108" w:type="dxa"/>
          </w:tblCellMar>
        </w:tblPrEx>
        <w:trPr>
          <w:trHeight w:val="3753"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3.应急预案的编制应当符合下列基本要求：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（1）有关法律、法规、规章和标准的规定；</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（2）本地区、本部门、本单位的安全生产实际情况；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（3）本地区、本部门、本单位的危险性分析情况；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（4）应急组织和人员的职责分工明确，并有具体的落实措施；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（5）有明确、具体的应急程序和处置措施，并与其应急能力相适应；</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（6）有明确的应急保障措施，满足本地区、本部门、本单位的应急工作需要；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（7）应急预案基本要素齐全、完整，应急预案附件提供的信息准确；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（8）应急预案内容与相关应急预案相互衔接。</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《生产安全事故应急预案管理办法》（国家安全生产监督管理总局令第88号，根据应急管理部令第2号修正）第八条。</w:t>
            </w:r>
          </w:p>
        </w:tc>
      </w:tr>
    </w:tbl>
    <w:p>
      <w:pPr>
        <w:spacing w:line="560" w:lineRule="exact"/>
        <w:jc w:val="left"/>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95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5953"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23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0" w:type="dxa"/>
            <w:vMerge w:val="restart"/>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shd w:val="clear" w:color="auto" w:fill="auto"/>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4.编制单位应当进行风险评估和应急资源调查。</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第十条。</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710" w:type="dxa"/>
            <w:vMerge w:val="continue"/>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shd w:val="clear" w:color="auto" w:fill="auto"/>
            <w:vAlign w:val="center"/>
          </w:tcPr>
          <w:p>
            <w:pPr>
              <w:jc w:val="center"/>
              <w:rPr>
                <w:rFonts w:ascii="楷体_GB2312" w:hAnsi="宋体" w:eastAsia="楷体_GB2312" w:cs="宋体"/>
                <w:kern w:val="0"/>
                <w:szCs w:val="21"/>
              </w:rPr>
            </w:pP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5.应急预案体系应包括综合应急预案、专项应急预案、现场处置方案。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风险种类多、可能发生多种类型事故的，应当组织编制综合应急预案。对于某一种或者多种类型的事故风险，生产经营单位可以编制相应的专项应急预案，或将专项应急预案并入综合应急预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（2）对于危险性较大的场所、装置或者设施，生产经营单位应当编制现场处置方案。事故风险单一、危险性小的生产经营单位，可以只编制现场处置方案；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（3）生产经营单位应当在编制应急预案的基础上，针对工作场所、岗位的特点，编制简明、实用、有效的应急处置卡，并便于从业人员携带。</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1.《生产安全事故应急预案管理办法》（国家安全生产监督管理总局令第88号，根据应急管理部令第2号修正）第六条、第十三条、第十四条、第十五条、第十九条。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10" w:type="dxa"/>
            <w:vMerge w:val="continue"/>
            <w:shd w:val="clear" w:color="auto" w:fill="auto"/>
            <w:noWrap/>
            <w:vAlign w:val="center"/>
          </w:tcPr>
          <w:p>
            <w:pPr>
              <w:jc w:val="center"/>
              <w:rPr>
                <w:rFonts w:ascii="楷体_GB2312" w:hAnsi="宋体" w:eastAsia="楷体_GB2312" w:cs="宋体"/>
                <w:kern w:val="0"/>
                <w:szCs w:val="21"/>
              </w:rPr>
            </w:pPr>
          </w:p>
        </w:tc>
        <w:tc>
          <w:tcPr>
            <w:tcW w:w="1134" w:type="dxa"/>
            <w:vMerge w:val="continue"/>
            <w:shd w:val="clear" w:color="auto" w:fill="auto"/>
            <w:vAlign w:val="center"/>
          </w:tcPr>
          <w:p>
            <w:pPr>
              <w:widowControl/>
              <w:jc w:val="center"/>
              <w:rPr>
                <w:rFonts w:ascii="楷体_GB2312" w:hAnsi="宋体" w:eastAsia="楷体_GB2312" w:cs="宋体"/>
                <w:kern w:val="0"/>
                <w:szCs w:val="21"/>
              </w:rPr>
            </w:pPr>
          </w:p>
        </w:tc>
        <w:tc>
          <w:tcPr>
            <w:tcW w:w="5953" w:type="dxa"/>
            <w:shd w:val="clear" w:color="auto" w:fill="auto"/>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6.生产安全事故应急预案的编制程序、体系构成以及综合应急预案、专项应急预案、现场处置方案和附件的主要内容应符合有关要求。</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1.《生产安全事故应急预案管理办法》（国家安全生产监督管理总局令第88号，根据应急管理部令第2号修正）第十二条、第十三条、第十四条、第十五条、第十六条、第十九条。</w:t>
            </w:r>
          </w:p>
          <w:p>
            <w:pPr>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  5 应急预案体系、6 综合应急预案主要内容、7 专项应急预案主要内容、8 现场处置方案主要内容。</w:t>
            </w:r>
          </w:p>
        </w:tc>
      </w:tr>
    </w:tbl>
    <w:p>
      <w:pPr>
        <w:spacing w:line="560" w:lineRule="exact"/>
        <w:jc w:val="left"/>
        <w:rPr>
          <w:rFonts w:ascii="楷体_GB2312" w:hAnsi="宋体" w:eastAsia="楷体_GB2312" w:cs="宋体"/>
          <w:b/>
          <w:kern w:val="0"/>
          <w:szCs w:val="21"/>
        </w:rPr>
      </w:pP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099"/>
        <w:gridCol w:w="6088"/>
      </w:tblGrid>
      <w:tr>
        <w:tblPrEx>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747" w:hRule="atLeast"/>
        </w:trPr>
        <w:tc>
          <w:tcPr>
            <w:tcW w:w="710" w:type="dxa"/>
            <w:vMerge w:val="restart"/>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7.预案附件。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（1）应急预案附件内容至少包括通讯录、应急物资装备清单、规范化格式文本、关键的路线、标识和图纸、有关协议或备忘录等信息；</w:t>
            </w:r>
          </w:p>
          <w:p>
            <w:pPr>
              <w:jc w:val="left"/>
              <w:rPr>
                <w:rFonts w:ascii="楷体_GB2312" w:hAnsi="宋体" w:eastAsia="楷体_GB2312" w:cs="宋体"/>
                <w:kern w:val="0"/>
                <w:szCs w:val="21"/>
              </w:rPr>
            </w:pPr>
            <w:r>
              <w:rPr>
                <w:rFonts w:hint="eastAsia" w:ascii="楷体_GB2312" w:hAnsi="宋体" w:eastAsia="楷体_GB2312" w:cs="宋体"/>
                <w:kern w:val="0"/>
                <w:szCs w:val="21"/>
              </w:rPr>
              <w:t>（2）附件信息发生变化时，应当及时更新，确保准确有效。</w:t>
            </w:r>
          </w:p>
        </w:tc>
        <w:tc>
          <w:tcPr>
            <w:tcW w:w="6088"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29639-2013)9附件。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3.《生产经营单位生产安全事故应急预案评审指南》（安监总厅应急〔2009〕73号） 附件5。</w:t>
            </w:r>
          </w:p>
        </w:tc>
      </w:tr>
      <w:tr>
        <w:tblPrEx>
          <w:tblCellMar>
            <w:top w:w="0" w:type="dxa"/>
            <w:left w:w="108" w:type="dxa"/>
            <w:bottom w:w="0" w:type="dxa"/>
            <w:right w:w="108" w:type="dxa"/>
          </w:tblCellMar>
        </w:tblPrEx>
        <w:trPr>
          <w:trHeight w:val="1866"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8.预案衔接。各类应急预案之间应当相互衔接，并与相关人民政府及其部门、应急救援队伍和涉及的其他单位的应急预案相衔接。</w:t>
            </w:r>
          </w:p>
        </w:tc>
        <w:tc>
          <w:tcPr>
            <w:tcW w:w="6088" w:type="dxa"/>
            <w:tcBorders>
              <w:top w:val="nil"/>
              <w:left w:val="nil"/>
              <w:bottom w:val="single" w:color="auto" w:sz="4" w:space="0"/>
              <w:right w:val="single" w:color="auto" w:sz="4" w:space="0"/>
            </w:tcBorders>
            <w:shd w:val="clear" w:color="auto" w:fill="auto"/>
            <w:noWrap/>
            <w:vAlign w:val="center"/>
          </w:tcPr>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1.《国务院关于进一步加强企业安全生产工作的通知》17.完善企业应急预案。</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2.《中华人民共和国安全生产法》第七十八条。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3.《生产安全事故应急预案管理办法》（国家安全生产监督管理总局令第88号，根据应急管理部令第2号修正）第八条、 第十八条。</w:t>
            </w:r>
          </w:p>
          <w:p>
            <w:pPr>
              <w:widowControl/>
              <w:spacing w:line="220" w:lineRule="exact"/>
              <w:jc w:val="left"/>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w:t>
            </w:r>
            <w:r>
              <w:rPr>
                <w:rFonts w:ascii="楷体_GB2312" w:hAnsi="宋体" w:eastAsia="楷体_GB2312" w:cs="宋体"/>
                <w:kern w:val="0"/>
                <w:szCs w:val="21"/>
              </w:rPr>
              <w:t>31号）</w:t>
            </w:r>
            <w:r>
              <w:rPr>
                <w:rFonts w:hint="eastAsia" w:ascii="楷体_GB2312" w:hAnsi="宋体" w:eastAsia="楷体_GB2312" w:cs="宋体"/>
                <w:kern w:val="0"/>
                <w:szCs w:val="21"/>
              </w:rPr>
              <w:t>第十四条。</w:t>
            </w:r>
          </w:p>
        </w:tc>
      </w:tr>
      <w:tr>
        <w:tblPrEx>
          <w:tblCellMar>
            <w:top w:w="0" w:type="dxa"/>
            <w:left w:w="108" w:type="dxa"/>
            <w:bottom w:w="0" w:type="dxa"/>
            <w:right w:w="108" w:type="dxa"/>
          </w:tblCellMar>
        </w:tblPrEx>
        <w:trPr>
          <w:trHeight w:val="706"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1.预案评审。对本单位编制的应急预案进行评审，并形成书面评审纪要。</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第二十一条。</w:t>
            </w:r>
          </w:p>
        </w:tc>
      </w:tr>
      <w:tr>
        <w:tblPrEx>
          <w:tblCellMar>
            <w:top w:w="0" w:type="dxa"/>
            <w:left w:w="108" w:type="dxa"/>
            <w:bottom w:w="0" w:type="dxa"/>
            <w:right w:w="108" w:type="dxa"/>
          </w:tblCellMar>
        </w:tblPrEx>
        <w:trPr>
          <w:trHeight w:val="1177"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2.预案评审人员要求。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（1）评审人员应当包括有关安全生产及应急管理方面的专家；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（2）评审人员与所评审应急预案的生产经营单位有利害关系的，应当回避。</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《生产安全事故应急预案管理办法》（国家安全生产监督管理总局令第88号，根据应急管理部令第2号修正） 第二十二条。</w:t>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3.预案签署、公布与发放。</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（1）应急预案由本单位主要负责人签署；</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（2）向本单位人员公布；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（3）应急预案发放至本单位有关部门、岗位和相关应急救援队伍；</w:t>
            </w:r>
          </w:p>
          <w:p>
            <w:pPr>
              <w:jc w:val="left"/>
              <w:rPr>
                <w:rFonts w:ascii="楷体_GB2312" w:hAnsi="宋体" w:eastAsia="楷体_GB2312" w:cs="宋体"/>
                <w:kern w:val="0"/>
                <w:szCs w:val="21"/>
              </w:rPr>
            </w:pPr>
            <w:r>
              <w:rPr>
                <w:rFonts w:hint="eastAsia" w:ascii="楷体_GB2312" w:hAnsi="宋体" w:eastAsia="楷体_GB2312" w:cs="宋体"/>
                <w:kern w:val="0"/>
                <w:szCs w:val="21"/>
              </w:rPr>
              <w:t>（4）事故风险可能影响周边其他单位、人员的，生产经营单位应当将有关事故风险的性质、影响范围和应急防范措施告知周边的其他单位和人员。</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2.《生产安全事故应急预案管理办法》（国家安全生产监督管理总局令第88号，根据应急管理部令第2号修正） 第二十四条。</w:t>
            </w:r>
            <w:r>
              <w:rPr>
                <w:rFonts w:hint="eastAsia" w:ascii="楷体_GB2312" w:hAnsi="宋体" w:eastAsia="楷体_GB2312" w:cs="宋体"/>
                <w:kern w:val="0"/>
                <w:szCs w:val="21"/>
              </w:rPr>
              <w:br w:type="textWrapping"/>
            </w:r>
          </w:p>
        </w:tc>
      </w:tr>
    </w:tbl>
    <w:p>
      <w:pPr>
        <w:widowControl/>
        <w:jc w:val="left"/>
        <w:rPr>
          <w:rFonts w:ascii="楷体_GB2312" w:hAnsi="宋体" w:eastAsia="楷体_GB2312" w:cs="宋体"/>
          <w:b/>
          <w:kern w:val="0"/>
          <w:szCs w:val="21"/>
        </w:rPr>
      </w:pPr>
      <w:r>
        <w:rPr>
          <w:rFonts w:ascii="仿宋_GB2312" w:hAnsi="宋体" w:eastAsia="仿宋_GB2312"/>
          <w:sz w:val="32"/>
          <w:szCs w:val="32"/>
        </w:rPr>
        <w:br w:type="page"/>
      </w: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944"/>
        <w:gridCol w:w="524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33"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4.预案备案。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w:t>
            </w:r>
            <w:r>
              <w:rPr>
                <w:rFonts w:ascii="楷体_GB2312" w:hAnsi="宋体" w:eastAsia="楷体_GB2312" w:cs="宋体"/>
                <w:kern w:val="0"/>
                <w:szCs w:val="21"/>
              </w:rPr>
              <w:t>在应急预案公布之日起20个工作日内，按照分级属地原则，向县级以上人民政府应急管理部门和其他负有安全生产监督管理职责的部门进行备案，并依法向社会公布</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（2）应急预案修订后，按照有关应急预案报备程序重新备案。</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1.《危险化学品安全管理条例》第七十条。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3.《生产安全事故应急预案管理办法》（国家安全生产监督管理总局令第88号，根据应急管理部令第2号修正）第二十六条、第三十七条。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4.《危险化学品生产企业安全生产许可证实施办法》（国家安全监管总局令第41号，根据国家安全监管总局令第89号修正）第二十一条。</w:t>
            </w:r>
          </w:p>
        </w:tc>
      </w:tr>
      <w:tr>
        <w:tblPrEx>
          <w:tblCellMar>
            <w:top w:w="0" w:type="dxa"/>
            <w:left w:w="108" w:type="dxa"/>
            <w:bottom w:w="0" w:type="dxa"/>
            <w:right w:w="108" w:type="dxa"/>
          </w:tblCellMar>
        </w:tblPrEx>
        <w:trPr>
          <w:trHeight w:val="2059" w:hRule="atLeast"/>
        </w:trPr>
        <w:tc>
          <w:tcPr>
            <w:tcW w:w="710" w:type="dxa"/>
            <w:vMerge w:val="continue"/>
            <w:tcBorders>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5.预案评估。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（1）应急预案应每三年进行一次评估；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（2）结合本单位部门职能和分工，成立以单位相关负责人为组长，单位相关部门人员参加的应急预案评估组，明确工作职责和任务分工，制定工作方案。评估组成员人数一般为单数;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应急预案评估可以邀请相关专业机构或者有关专家、有实际应急救援工作经验的人员参加，必要时可以委托安全生产技术服务机构实施</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（4）应急预案评估结束后，评估组成员沟通交流各自评估情况，对照有关规定及相关标准，汇总评估中发现的问题，并形成一致、公正客观的评估组意见，在此基础上组织撰写评估报告;</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（5）评估要</w:t>
            </w:r>
            <w:r>
              <w:rPr>
                <w:rFonts w:ascii="楷体_GB2312" w:hAnsi="宋体" w:eastAsia="楷体_GB2312" w:cs="宋体"/>
                <w:kern w:val="0"/>
                <w:szCs w:val="21"/>
              </w:rPr>
              <w:t>对应急预案是否需要修订作出结论</w:t>
            </w:r>
            <w:r>
              <w:rPr>
                <w:rFonts w:hint="eastAsia" w:ascii="楷体_GB2312" w:hAnsi="宋体" w:eastAsia="楷体_GB2312" w:cs="宋体"/>
                <w:kern w:val="0"/>
                <w:szCs w:val="21"/>
              </w:rPr>
              <w:t>。</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1.《生产安全事故应急预案管理办法》（国家安全生产监督管理总局令第88号，根据应急管理部令第2号修正）第三十五条。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2019）5.1成立评估组、5.4评估报告编写。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26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6.预案修订。有下列情形之一的，生产安全事故应急救援预案制定单位应当及时修订相关预案</w:t>
            </w:r>
            <w:r>
              <w:rPr>
                <w:rFonts w:ascii="楷体_GB2312" w:hAnsi="宋体" w:eastAsia="楷体_GB2312" w:cs="宋体"/>
                <w:kern w:val="0"/>
                <w:szCs w:val="21"/>
              </w:rPr>
              <w:t>并归档</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（1）依据的法律、法规、规章、标准及上位预案中的有关规定发生重大变化的；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（2）应急指挥机构及其职责发生调整的；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（3）安全生产面临的事故风险发生重大变化的；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（4）重要应急资源发生重大变化的；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（5）在应急演练和事故应急救援中发现需要修订预案的重大问题的；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（6）编制单位认为应当修订的其他情况。</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1.《生产安全事故应急条例》第六条。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w:t>
            </w:r>
            <w:r>
              <w:rPr>
                <w:rFonts w:ascii="楷体_GB2312" w:hAnsi="宋体" w:eastAsia="楷体_GB2312" w:cs="宋体"/>
                <w:kern w:val="0"/>
                <w:szCs w:val="21"/>
              </w:rPr>
              <w:t>AQ/T 9007-2019）</w:t>
            </w:r>
            <w:r>
              <w:rPr>
                <w:rFonts w:hint="eastAsia" w:ascii="楷体_GB2312" w:hAnsi="宋体" w:eastAsia="楷体_GB2312" w:cs="宋体"/>
                <w:kern w:val="0"/>
                <w:szCs w:val="21"/>
              </w:rPr>
              <w:t>9.1应急预案修订完善。</w:t>
            </w:r>
          </w:p>
        </w:tc>
      </w:tr>
      <w:tr>
        <w:tblPrEx>
          <w:tblCellMar>
            <w:top w:w="0" w:type="dxa"/>
            <w:left w:w="108" w:type="dxa"/>
            <w:bottom w:w="0" w:type="dxa"/>
            <w:right w:w="108" w:type="dxa"/>
          </w:tblCellMar>
        </w:tblPrEx>
        <w:trPr>
          <w:trHeight w:val="84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FF0000"/>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color w:val="FF0000"/>
                <w:kern w:val="0"/>
                <w:szCs w:val="21"/>
              </w:rPr>
            </w:pPr>
            <w:r>
              <w:rPr>
                <w:rFonts w:hint="eastAsia" w:ascii="楷体_GB2312" w:hAnsi="宋体" w:eastAsia="楷体_GB2312" w:cs="宋体"/>
                <w:kern w:val="0"/>
                <w:szCs w:val="21"/>
              </w:rPr>
              <w:t>能力提升</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在全面调查和客观分析生产经营单位应急队伍、装备、物资等应急资源状况基础上，开展应急能力评估，并依据评估结果，完善应急保障措施，提高应急保障能力。</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w:t>
            </w:r>
            <w:r>
              <w:rPr>
                <w:rFonts w:ascii="楷体_GB2312" w:hAnsi="宋体" w:eastAsia="楷体_GB2312" w:cs="宋体"/>
                <w:kern w:val="0"/>
                <w:szCs w:val="21"/>
              </w:rPr>
              <w:t>生产经营单位生产安全事故应急预案编制导则</w:t>
            </w:r>
            <w:r>
              <w:rPr>
                <w:rFonts w:hint="eastAsia" w:ascii="楷体_GB2312" w:hAnsi="宋体" w:eastAsia="楷体_GB2312" w:cs="宋体"/>
                <w:kern w:val="0"/>
                <w:szCs w:val="21"/>
              </w:rPr>
              <w:t>》（</w:t>
            </w:r>
            <w:r>
              <w:rPr>
                <w:rFonts w:ascii="楷体_GB2312" w:hAnsi="宋体" w:eastAsia="楷体_GB2312" w:cs="宋体"/>
                <w:kern w:val="0"/>
                <w:szCs w:val="21"/>
              </w:rPr>
              <w:t>GB/T29639</w:t>
            </w:r>
            <w:r>
              <w:rPr>
                <w:rFonts w:hint="eastAsia" w:ascii="楷体_GB2312" w:hAnsi="宋体" w:eastAsia="楷体_GB2312" w:cs="宋体"/>
                <w:kern w:val="0"/>
                <w:szCs w:val="21"/>
              </w:rPr>
              <w:t>-</w:t>
            </w:r>
            <w:r>
              <w:rPr>
                <w:rFonts w:ascii="楷体_GB2312" w:hAnsi="宋体" w:eastAsia="楷体_GB2312" w:cs="宋体"/>
                <w:kern w:val="0"/>
                <w:szCs w:val="21"/>
              </w:rPr>
              <w:t>2013</w:t>
            </w:r>
            <w:r>
              <w:rPr>
                <w:rFonts w:hint="eastAsia" w:ascii="楷体_GB2312" w:hAnsi="宋体" w:eastAsia="楷体_GB2312" w:cs="宋体"/>
                <w:kern w:val="0"/>
                <w:szCs w:val="21"/>
              </w:rPr>
              <w:t>）4.5应急能力评估。</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要素6：监测与预警</w:t>
      </w:r>
    </w:p>
    <w:tbl>
      <w:tblPr>
        <w:tblStyle w:val="11"/>
        <w:tblW w:w="14034" w:type="dxa"/>
        <w:tblInd w:w="-318" w:type="dxa"/>
        <w:tblLayout w:type="fixed"/>
        <w:tblCellMar>
          <w:top w:w="0" w:type="dxa"/>
          <w:left w:w="108" w:type="dxa"/>
          <w:bottom w:w="0" w:type="dxa"/>
          <w:right w:w="108" w:type="dxa"/>
        </w:tblCellMar>
      </w:tblPr>
      <w:tblGrid>
        <w:gridCol w:w="710"/>
        <w:gridCol w:w="1137"/>
        <w:gridCol w:w="4533"/>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14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监测</w:t>
            </w:r>
          </w:p>
        </w:tc>
        <w:tc>
          <w:tcPr>
            <w:tcW w:w="4533" w:type="dxa"/>
            <w:tcBorders>
              <w:top w:val="nil"/>
              <w:left w:val="nil"/>
              <w:bottom w:val="single" w:color="auto" w:sz="4" w:space="0"/>
              <w:right w:val="single" w:color="auto" w:sz="4" w:space="0"/>
            </w:tcBorders>
            <w:shd w:val="clear" w:color="auto" w:fill="auto"/>
            <w:noWrap/>
            <w:vAlign w:val="center"/>
          </w:tcPr>
          <w:p>
            <w:pPr>
              <w:widowControl/>
              <w:numPr>
                <w:ilvl w:val="0"/>
                <w:numId w:val="1"/>
              </w:numPr>
              <w:jc w:val="left"/>
              <w:rPr>
                <w:rFonts w:ascii="楷体_GB2312" w:hAnsi="宋体" w:eastAsia="楷体_GB2312" w:cs="宋体"/>
                <w:kern w:val="0"/>
                <w:szCs w:val="21"/>
              </w:rPr>
            </w:pPr>
            <w:r>
              <w:rPr>
                <w:rFonts w:hint="eastAsia" w:ascii="楷体_GB2312" w:hAnsi="宋体" w:eastAsia="楷体_GB2312" w:cs="宋体"/>
                <w:kern w:val="0"/>
                <w:szCs w:val="21"/>
              </w:rPr>
              <w:t>结合生产工艺和事故风险，建立健全基于过程控制系统、安全仪表系统、灾害报警系统的监测预报系统，科学设置监测预报参数，并结合系统数据异常情况进行事故风险评估和预报；</w:t>
            </w:r>
          </w:p>
          <w:p>
            <w:pPr>
              <w:widowControl/>
              <w:numPr>
                <w:ilvl w:val="0"/>
                <w:numId w:val="1"/>
              </w:numPr>
              <w:jc w:val="left"/>
              <w:rPr>
                <w:rFonts w:ascii="楷体_GB2312" w:hAnsi="宋体" w:eastAsia="楷体_GB2312" w:cs="宋体"/>
                <w:kern w:val="0"/>
                <w:szCs w:val="21"/>
              </w:rPr>
            </w:pPr>
            <w:r>
              <w:rPr>
                <w:rFonts w:hint="eastAsia" w:ascii="楷体_GB2312" w:hAnsi="宋体" w:eastAsia="楷体_GB2312" w:cs="宋体"/>
                <w:kern w:val="0"/>
                <w:szCs w:val="21"/>
              </w:rPr>
              <w:t>重大危险源和关键部位的监测监控信息要接入危险化学品安全生产风险监测预警系统，警示信息及时处置，并保证系统正常运行。</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1.《突发事件应急预案管理办法》（国务院办公厅印发）第九条。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3.《国家安全监管总局关于加强科学施救提高生产安全事故灾难应急救援水平的指导意见》（安监总应急〔2012〕147号）（十三）加强重大危险源监测监控及预警预报工作。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4.《国务院安委会办公室 应急管理部关于加快推进危险化学品安全生产风险监测预警系统建设的指导意见》（安委办〔2019〕11号）三、建设内容（一）危险化学品企业、化工园区建设完善监测监控系统。</w:t>
            </w:r>
          </w:p>
        </w:tc>
      </w:tr>
      <w:tr>
        <w:tblPrEx>
          <w:tblCellMar>
            <w:top w:w="0" w:type="dxa"/>
            <w:left w:w="108" w:type="dxa"/>
            <w:bottom w:w="0" w:type="dxa"/>
            <w:right w:w="108" w:type="dxa"/>
          </w:tblCellMar>
        </w:tblPrEx>
        <w:trPr>
          <w:trHeight w:val="1981"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预警分级</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一般情况下，按照事故发生的紧急程度、发展势态和可能造成的危害程度分为一级、二级、三级和四级，分别用红色、橙色、黄色和蓝色标示，一级为最高级别。</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在事故情形简单、严重程度较小等情况下，可以根据实际情况，灵活调整分为两个或三个等级。</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1.《中华人民共和国突发事件应对法》第四十二条。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2.《国家突发公共事件总体应急预案》3.1.1预警级别和发布。</w:t>
            </w:r>
          </w:p>
        </w:tc>
      </w:tr>
      <w:tr>
        <w:tblPrEx>
          <w:tblCellMar>
            <w:top w:w="0" w:type="dxa"/>
            <w:left w:w="108" w:type="dxa"/>
            <w:bottom w:w="0" w:type="dxa"/>
            <w:right w:w="108" w:type="dxa"/>
          </w:tblCellMar>
        </w:tblPrEx>
        <w:trPr>
          <w:trHeight w:val="213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预警措施</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1.按照不同预警等级，分别采取一项或多项应急措施；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2.一旦重大危险源发生事故，要立即向事故区域发出预警，迅速疏散危险区域有关人员，调动应急力量快速处置，做到提前预警、提前防范、提前处置。</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1.《中华人民共和国突发事件应对法》第四十四条、第四十五条。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2.《国家安全监管总局关于加强科学施救提高生产安全事故灾难应急救援水平的指导意见》（安监总应急〔2012〕147号）（十三）加强重大危险源监测监控及预警预报工作。</w:t>
            </w: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p>
    <w:p>
      <w:pPr>
        <w:spacing w:line="560" w:lineRule="exact"/>
        <w:jc w:val="center"/>
        <w:rPr>
          <w:rFonts w:ascii="仿宋_GB2312" w:hAnsi="宋体" w:eastAsia="仿宋_GB2312"/>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w:t>
      </w:r>
    </w:p>
    <w:tbl>
      <w:tblPr>
        <w:tblStyle w:val="11"/>
        <w:tblW w:w="14034" w:type="dxa"/>
        <w:tblInd w:w="-318" w:type="dxa"/>
        <w:tblLayout w:type="fixed"/>
        <w:tblCellMar>
          <w:top w:w="0" w:type="dxa"/>
          <w:left w:w="108" w:type="dxa"/>
          <w:bottom w:w="0" w:type="dxa"/>
          <w:right w:w="108" w:type="dxa"/>
        </w:tblCellMar>
      </w:tblPr>
      <w:tblGrid>
        <w:gridCol w:w="710"/>
        <w:gridCol w:w="1134"/>
        <w:gridCol w:w="4885"/>
        <w:gridCol w:w="7305"/>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8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286"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应急教育培训</w:t>
            </w:r>
          </w:p>
        </w:tc>
        <w:tc>
          <w:tcPr>
            <w:tcW w:w="48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1.企业应制定应急教育培训计划与目标，对从业人员进行应急教育和培训，保证从业人员具备必要的应急知识，掌握风险防范技能和事故应急措施。</w:t>
            </w:r>
          </w:p>
        </w:tc>
        <w:tc>
          <w:tcPr>
            <w:tcW w:w="73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1.《中华人民共和国安全生产法》第二十五条。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4.《国家安全监管总局关于加强科学施救提高生产安全事故灾难应急救援水平的指导意见》（安监总应急〔2012〕147号）（十五）加强高危行业企业相关人员的培训教育。</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5.《安全生产应急管理“十三五”规划》（安监总应急〔2017〕107号）三、主要任务（六）强化应急管理培训宣教。</w:t>
            </w:r>
          </w:p>
        </w:tc>
      </w:tr>
      <w:tr>
        <w:tblPrEx>
          <w:tblCellMar>
            <w:top w:w="0" w:type="dxa"/>
            <w:left w:w="108" w:type="dxa"/>
            <w:bottom w:w="0" w:type="dxa"/>
            <w:right w:w="108" w:type="dxa"/>
          </w:tblCellMar>
        </w:tblPrEx>
        <w:trPr>
          <w:trHeight w:val="2376"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2教育培训内容。</w:t>
            </w:r>
          </w:p>
          <w:p>
            <w:pPr>
              <w:widowControl/>
              <w:shd w:val="clear" w:color="auto" w:fill="FFFFFF"/>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（1）生产经营单位应当组织开展本单位的风险评估、应急预案、应急知识、自救互救和避险逃生技能的培训活动，使有关人员了解应急预案内容，熟悉应急职责、应急处置程序和措施；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（2）危险化学品基础知识，必要的应急知识、风险防范技能和事故应急措施；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（3）危险化学品安全生产风险监测预警系统应用。</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国务院关于推进安全生产领域改革发展的意见》（二十一）强化企业预防措施。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2.《生产安全事故应急条例》第三十条。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4.《危险化学品应急救援管理人员培训及考核要求》（AQ/T3043-2013） 4培训要求、5培训内容。</w:t>
            </w:r>
          </w:p>
        </w:tc>
      </w:tr>
      <w:tr>
        <w:tblPrEx>
          <w:tblCellMar>
            <w:top w:w="0" w:type="dxa"/>
            <w:left w:w="108" w:type="dxa"/>
            <w:bottom w:w="0" w:type="dxa"/>
            <w:right w:w="108" w:type="dxa"/>
          </w:tblCellMar>
        </w:tblPrEx>
        <w:trPr>
          <w:trHeight w:val="1856"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88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3.培训考核与建档。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（1）对参加培训的人员进行评估考核，包括基础知识考核、实际应用能力考核和再培训考核；</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（2）应急培训的时间、地点、内容、师资、参加人员和考核结果等情况应当如实记入本单位的安全生产教育和培训档案。</w:t>
            </w:r>
          </w:p>
        </w:tc>
        <w:tc>
          <w:tcPr>
            <w:tcW w:w="7305"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1.《生产安全事故应急预案管理办法》（国家安全生产监督管理总局令第88号，根据应急管理部令第2号修正）第三十一条。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2.《危险化学品应急救援管理人员培训及考核要求》（AQ/T3043-2013）6 考核标准。</w:t>
            </w:r>
          </w:p>
        </w:tc>
      </w:tr>
    </w:tbl>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要素7：教育培训与演练（续）</w:t>
      </w:r>
    </w:p>
    <w:tbl>
      <w:tblPr>
        <w:tblStyle w:val="11"/>
        <w:tblW w:w="14034" w:type="dxa"/>
        <w:tblInd w:w="-318" w:type="dxa"/>
        <w:tblLayout w:type="fixed"/>
        <w:tblCellMar>
          <w:top w:w="0" w:type="dxa"/>
          <w:left w:w="108" w:type="dxa"/>
          <w:bottom w:w="0" w:type="dxa"/>
          <w:right w:w="108" w:type="dxa"/>
        </w:tblCellMar>
      </w:tblPr>
      <w:tblGrid>
        <w:gridCol w:w="710"/>
        <w:gridCol w:w="1134"/>
        <w:gridCol w:w="4903"/>
        <w:gridCol w:w="7287"/>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应急演练</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（1）制定本单位的应急预案演练计划，至少每半年组织一次生产安全事故应急预案演练；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（2）将演练情况报送所在地县级以上人民政府负有安全生产监督管理职责的部门；</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（3）开展多种形式的演练。按照演练内容分为综合演练和单项演练，按照演练形式分为现场演练和桌面演练，不同类型的演练可相互组合；</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（4）基于危险化学品安全生产风险监测预警系统和应急指挥“一张图”，开展信息化条件下的应急演练。</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2.《生产安全事故应急预案管理办法》（国家安全生产监督管理总局令第88号，根据应急管理部令第2号修正）第三十三条。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3.《生产安全事故应急演练基本规范》（AQ/T 9007-2019）4.2  应急演练分类。</w:t>
            </w:r>
          </w:p>
        </w:tc>
      </w:tr>
      <w:tr>
        <w:tblPrEx>
          <w:tblCellMar>
            <w:top w:w="0" w:type="dxa"/>
            <w:left w:w="108" w:type="dxa"/>
            <w:bottom w:w="0" w:type="dxa"/>
            <w:right w:w="108" w:type="dxa"/>
          </w:tblCellMar>
        </w:tblPrEx>
        <w:trPr>
          <w:trHeight w:val="2613"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演练评估</w:t>
            </w: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5.演练评估。</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（1）演练设置评估组，由应急管理方面专家和相关领域专业技术人员或相关方代表组成；</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（2）评估组编写评估方案和评估标准；</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（3）评估人员应经过相关培训；</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（4）演练现场评估工作结束后，评估组针对收集的各种信息资料，依据评估标准和相关文件资料对演练活动全过程进行科学分析和客观评价，并撰写演练评估报告，评估报告应向所有参演人员公示。</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 4.5评估组、5.5编写评估方案和评估标准、5.6培训评估人员、7.4编制演练评估报告。</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2.《生产安全事故应急演练基本规范》（AQ/T 9007-2019） 8.1评估。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3.《国家安全监管总局关于加强科学施救提高生产安全事故灾难应急救援水平的指导意见》（安监总应急〔2012〕147号）（十二）加强事故救援的总结评估工作。</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9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6.持续改进。</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（1）应急预案编制部门根据演练评估报告中对应急预案的改进建议，按程序对预案进行修订完善；</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（2）根据演练评估报告中提出的问题和建议，明确整改措施和时限，对应急管理工作进行持续改进。</w:t>
            </w:r>
          </w:p>
        </w:tc>
        <w:tc>
          <w:tcPr>
            <w:tcW w:w="728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1.《生产安全事故应急演练基本规范》（AQ/T 9007-2019） 9.1应急预案修订完善、9.2应急管理工作改进。</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2.《生产安全事故应急演练评估规范》（AQ/T 9009-2015） 7.5整改落实。</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要素8：值班值守</w:t>
      </w:r>
    </w:p>
    <w:tbl>
      <w:tblPr>
        <w:tblStyle w:val="11"/>
        <w:tblW w:w="14034" w:type="dxa"/>
        <w:tblInd w:w="-318" w:type="dxa"/>
        <w:tblLayout w:type="fixed"/>
        <w:tblCellMar>
          <w:top w:w="0" w:type="dxa"/>
          <w:left w:w="108" w:type="dxa"/>
          <w:bottom w:w="0" w:type="dxa"/>
          <w:right w:w="108" w:type="dxa"/>
        </w:tblCellMar>
      </w:tblPr>
      <w:tblGrid>
        <w:gridCol w:w="710"/>
        <w:gridCol w:w="1134"/>
        <w:gridCol w:w="6663"/>
        <w:gridCol w:w="5527"/>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66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958"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应急值班</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1.建立应急值班制度，配备应急值班人员，明确24小时应急值守电话。</w:t>
            </w:r>
          </w:p>
        </w:tc>
        <w:tc>
          <w:tcPr>
            <w:tcW w:w="552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2.《生产经营单位生产安全事故应急预案编制导则》（ GB/T 29639-2013）6.4.2信息报告。</w:t>
            </w:r>
          </w:p>
        </w:tc>
      </w:tr>
      <w:tr>
        <w:tblPrEx>
          <w:tblCellMar>
            <w:top w:w="0" w:type="dxa"/>
            <w:left w:w="108" w:type="dxa"/>
            <w:bottom w:w="0" w:type="dxa"/>
            <w:right w:w="108" w:type="dxa"/>
          </w:tblCellMar>
        </w:tblPrEx>
        <w:trPr>
          <w:trHeight w:val="1049"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2.规模较大、危险性较高的易燃易爆物品、危险化学品等危险物品的生产、经营、储存单位应当成立应急处置技术组，实行24小时应急值班。</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trHeight w:val="398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事故信息接报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1.明确事故信息接收、通报程序和责任人；</w:t>
            </w:r>
          </w:p>
          <w:p>
            <w:pPr>
              <w:widowControl/>
              <w:spacing w:line="240" w:lineRule="exact"/>
              <w:jc w:val="left"/>
              <w:rPr>
                <w:rFonts w:ascii="楷体_GB2312" w:hAnsi="宋体" w:eastAsia="楷体_GB2312" w:cs="宋体"/>
                <w:szCs w:val="21"/>
              </w:rPr>
            </w:pPr>
            <w:r>
              <w:rPr>
                <w:rFonts w:hint="eastAsia" w:ascii="楷体_GB2312" w:hAnsi="宋体" w:eastAsia="楷体_GB2312" w:cs="宋体"/>
                <w:kern w:val="0"/>
                <w:szCs w:val="21"/>
              </w:rPr>
              <w:t>2.</w:t>
            </w:r>
            <w:r>
              <w:rPr>
                <w:rFonts w:ascii="楷体_GB2312" w:hAnsi="宋体" w:eastAsia="楷体_GB2312" w:cs="宋体"/>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楷体_GB2312" w:hAnsi="宋体" w:eastAsia="楷体_GB2312" w:cs="宋体"/>
                <w:szCs w:val="21"/>
              </w:rPr>
              <w:t>；</w:t>
            </w:r>
          </w:p>
          <w:p>
            <w:pPr>
              <w:widowControl/>
              <w:spacing w:line="240" w:lineRule="exact"/>
              <w:jc w:val="left"/>
              <w:rPr>
                <w:rFonts w:ascii="楷体_GB2312" w:hAnsi="宋体" w:eastAsia="楷体_GB2312" w:cs="宋体"/>
                <w:kern w:val="0"/>
                <w:szCs w:val="21"/>
              </w:rPr>
            </w:pPr>
            <w:r>
              <w:rPr>
                <w:rFonts w:ascii="楷体_GB2312" w:hAnsi="宋体" w:eastAsia="楷体_GB2312" w:cs="宋体"/>
                <w:kern w:val="0"/>
                <w:szCs w:val="21"/>
              </w:rPr>
              <w:t>情况紧急时，事故现场有关人员可以直接向事故发生地县级以上人民政府安全生产监督管理部门和负有安全生产监督管理职责的有关部门报告</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3.报告事故应当包括下列内容：</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（1）事故发生单位概况；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（2）事故发生的时间、地点以及事故现场情况；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（3）事故的简要经过；</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（4）事故已经造成或者可能造成的伤亡人数（包括下落不明的人数）和初步估计的直接经济损失；</w:t>
            </w:r>
          </w:p>
          <w:p>
            <w:pPr>
              <w:widowControl/>
              <w:spacing w:line="240" w:lineRule="exact"/>
              <w:jc w:val="left"/>
              <w:rPr>
                <w:rFonts w:ascii="楷体_GB2312" w:eastAsia="楷体_GB2312"/>
                <w:szCs w:val="21"/>
              </w:rPr>
            </w:pPr>
            <w:r>
              <w:rPr>
                <w:rFonts w:hint="eastAsia" w:ascii="楷体_GB2312" w:hAnsi="宋体" w:eastAsia="楷体_GB2312" w:cs="宋体"/>
                <w:kern w:val="0"/>
                <w:szCs w:val="21"/>
              </w:rPr>
              <w:t>（5）已经采取的措施。</w:t>
            </w:r>
          </w:p>
          <w:p>
            <w:pPr>
              <w:widowControl/>
              <w:spacing w:line="240" w:lineRule="exact"/>
              <w:jc w:val="left"/>
              <w:rPr>
                <w:rFonts w:ascii="楷体_GB2312" w:hAnsi="宋体" w:eastAsia="楷体_GB2312" w:cs="宋体"/>
                <w:kern w:val="0"/>
                <w:szCs w:val="21"/>
              </w:rPr>
            </w:pPr>
            <w:r>
              <w:rPr>
                <w:rFonts w:hint="eastAsia" w:ascii="楷体_GB2312" w:eastAsia="楷体_GB2312"/>
                <w:szCs w:val="21"/>
              </w:rPr>
              <w:t>4.事故报告应当及时、准确、完整，任何单位和个人对事故不得迟报、漏报、谎报或者瞒报。</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1.《中华人民共和国安全生产法》第八十条。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w:t>
            </w:r>
            <w:r>
              <w:rPr>
                <w:rFonts w:ascii="楷体_GB2312" w:hAnsi="宋体" w:eastAsia="楷体_GB2312" w:cs="宋体"/>
                <w:kern w:val="0"/>
                <w:szCs w:val="21"/>
              </w:rPr>
              <w:t>《生产安全事故报告和调查处理条例》</w:t>
            </w:r>
            <w:r>
              <w:rPr>
                <w:rFonts w:hint="eastAsia" w:ascii="楷体_GB2312" w:hAnsi="宋体" w:eastAsia="楷体_GB2312" w:cs="宋体"/>
                <w:kern w:val="0"/>
                <w:szCs w:val="21"/>
              </w:rPr>
              <w:t>第四条、第九条、第十二条。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3.《生产经营单位生产安全事故应急预案编制导则》（GB/T 29639-2013） 6.4.2信息报告。</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95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对外通报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明确事故发生后向本单位以外的有关部门或单位通报事故信息的方法、程序和责任人。</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 》（GB/T 29639-2013 ）第6.4.2信息报告。</w:t>
            </w:r>
          </w:p>
        </w:tc>
      </w:tr>
    </w:tbl>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要素9：信息管理</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654"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nil"/>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应急救援信息</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1.有关生产工艺信息。</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2.《生产经营单位生产安全事故应急预案编制导则》（GB/T29639-2013）8.3（b）现场应急处置措施。</w:t>
            </w:r>
          </w:p>
        </w:tc>
      </w:tr>
      <w:tr>
        <w:tblPrEx>
          <w:tblCellMar>
            <w:top w:w="0" w:type="dxa"/>
            <w:left w:w="108" w:type="dxa"/>
            <w:bottom w:w="0" w:type="dxa"/>
            <w:right w:w="108" w:type="dxa"/>
          </w:tblCellMar>
        </w:tblPrEx>
        <w:trPr>
          <w:trHeight w:val="1845"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2.本单位危险化学品安全技术说明书。</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1.《危险化学品重大危险源监督管理暂行规定》（国家安全生产监督管理总局令第40号，根据国家安全监管总局令第79号修正）第十三条。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2.《化学品安全技术说明书 内容和项目顺序》（GB/T16483-2008）3.5提供物质综合性信息。</w:t>
            </w:r>
          </w:p>
        </w:tc>
      </w:tr>
      <w:tr>
        <w:tblPrEx>
          <w:tblCellMar>
            <w:top w:w="0" w:type="dxa"/>
            <w:left w:w="108" w:type="dxa"/>
            <w:bottom w:w="0" w:type="dxa"/>
            <w:right w:w="108" w:type="dxa"/>
          </w:tblCellMar>
        </w:tblPrEx>
        <w:trPr>
          <w:trHeight w:val="146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rPr>
                <w:rFonts w:ascii="楷体_GB2312" w:hAnsi="宋体" w:eastAsia="楷体_GB2312" w:cs="宋体"/>
                <w:kern w:val="0"/>
                <w:szCs w:val="21"/>
              </w:rPr>
            </w:pPr>
            <w:r>
              <w:rPr>
                <w:rFonts w:hint="eastAsia" w:ascii="楷体_GB2312" w:hAnsi="宋体" w:eastAsia="楷体_GB2312" w:cs="宋体"/>
                <w:kern w:val="0"/>
                <w:szCs w:val="21"/>
              </w:rPr>
              <w:t>3.应急预案、专业应急队伍、兼职应急队伍、应急专家及其他信息。</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《生产经营单位生产安全事故应急预案编制导则》（GB/T29639-2013）6.8.2应急队伍保障、6.8.4其他保障。</w:t>
            </w:r>
          </w:p>
        </w:tc>
      </w:tr>
      <w:tr>
        <w:tblPrEx>
          <w:tblCellMar>
            <w:top w:w="0" w:type="dxa"/>
            <w:left w:w="108" w:type="dxa"/>
            <w:bottom w:w="0" w:type="dxa"/>
            <w:right w:w="108" w:type="dxa"/>
          </w:tblCellMar>
        </w:tblPrEx>
        <w:trPr>
          <w:trHeight w:val="163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信息保障</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1.建立有线与无线相结合的应急通信保障系统，确保事故应对工作的通信畅通；</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2.坚持信息畅通、协同应对的原则，保证与救援各方实时传输语音、视频、文字、数据等信息，与外部救援力量顺畅协同应对。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1.《中华人民共和国突发事件应对法》第三十三条。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3052-2015）4 基本原则。</w:t>
            </w:r>
          </w:p>
          <w:p>
            <w:pPr>
              <w:widowControl/>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要素10：装备设施</w:t>
      </w:r>
    </w:p>
    <w:tbl>
      <w:tblPr>
        <w:tblStyle w:val="11"/>
        <w:tblW w:w="14034" w:type="dxa"/>
        <w:tblInd w:w="-318" w:type="dxa"/>
        <w:tblLayout w:type="fixed"/>
        <w:tblCellMar>
          <w:top w:w="0" w:type="dxa"/>
          <w:left w:w="108" w:type="dxa"/>
          <w:bottom w:w="0" w:type="dxa"/>
          <w:right w:w="108" w:type="dxa"/>
        </w:tblCellMar>
      </w:tblPr>
      <w:tblGrid>
        <w:gridCol w:w="710"/>
        <w:gridCol w:w="1137"/>
        <w:gridCol w:w="7084"/>
        <w:gridCol w:w="510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174"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应急设施</w:t>
            </w: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1.《石油化工企业设计防火标准》（GB50160-2008，2018年版）8.2消防站。</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2.《化工企业安全卫生设计规范》（HG20571-2014 ）7.4消防站。</w:t>
            </w:r>
          </w:p>
        </w:tc>
      </w:tr>
      <w:tr>
        <w:tblPrEx>
          <w:tblCellMar>
            <w:top w:w="0" w:type="dxa"/>
            <w:left w:w="108" w:type="dxa"/>
            <w:bottom w:w="0" w:type="dxa"/>
            <w:right w:w="108" w:type="dxa"/>
          </w:tblCellMar>
        </w:tblPrEx>
        <w:trPr>
          <w:trHeight w:val="1269"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2.气防设施。</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（1）大量生产、储存和使用有毒有害气体并危害人身安全的化工企业应设置气体防护站；</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（2）气体防护站应按《化工企业安全卫生设计规范》规定进行建设,足额配备气体防护装备和人员；</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（3）生产、储存和使用氯气、氨气、光气、硫化氢等吸入性有毒有害气体的企业，构成重大危险源的，应当设立气体防护站（组）。</w:t>
            </w:r>
          </w:p>
        </w:tc>
        <w:tc>
          <w:tcPr>
            <w:tcW w:w="5103"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1.《危险化学品生产企业安全生产许可证实施办法》（国家安全监管总局令第41号，根据国家安全监管总局令第89号修正）第二十一条。</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2.《化工企业安全卫生设计规范》（HG20571-2014）7.3气体防护站。</w:t>
            </w:r>
          </w:p>
        </w:tc>
      </w:tr>
      <w:tr>
        <w:tblPrEx>
          <w:tblCellMar>
            <w:top w:w="0" w:type="dxa"/>
            <w:left w:w="108" w:type="dxa"/>
            <w:bottom w:w="0" w:type="dxa"/>
            <w:right w:w="108" w:type="dxa"/>
          </w:tblCellMar>
        </w:tblPrEx>
        <w:trPr>
          <w:trHeight w:val="721"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3.防尘防毒、防化学灼伤设施。在液体毒性危害严重的场所、具有化学灼伤的作业场所，应设置洗眼器、淋洗器等安全防护措施，洗眼器、淋洗器的服务半径不应大于15米。</w:t>
            </w:r>
          </w:p>
        </w:tc>
        <w:tc>
          <w:tcPr>
            <w:tcW w:w="5103" w:type="dxa"/>
            <w:tcBorders>
              <w:top w:val="nil"/>
              <w:left w:val="nil"/>
              <w:bottom w:val="single" w:color="auto" w:sz="4" w:space="0"/>
              <w:right w:val="single" w:color="auto" w:sz="4" w:space="0"/>
            </w:tcBorders>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rPr>
              <w:t>《化工企业安全卫生设计规范》（HG20571-2014）5.1.6、5.6.5。</w:t>
            </w:r>
          </w:p>
        </w:tc>
      </w:tr>
      <w:tr>
        <w:tblPrEx>
          <w:tblCellMar>
            <w:top w:w="0" w:type="dxa"/>
            <w:left w:w="108" w:type="dxa"/>
            <w:bottom w:w="0" w:type="dxa"/>
            <w:right w:w="108" w:type="dxa"/>
          </w:tblCellMar>
        </w:tblPrEx>
        <w:trPr>
          <w:trHeight w:val="965" w:hRule="atLeast"/>
        </w:trPr>
        <w:tc>
          <w:tcPr>
            <w:tcW w:w="710" w:type="dxa"/>
            <w:vMerge w:val="continue"/>
            <w:tcBorders>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4.紧急切断设施。对重大危险源中的毒性气体、剧毒液体和易燃气体等重点设施，设置紧急切断装置；毒性气体的设施，设置泄漏物紧急处置装置。</w:t>
            </w:r>
          </w:p>
        </w:tc>
        <w:tc>
          <w:tcPr>
            <w:tcW w:w="510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《危险化学品重大危险源监督管理暂行规定》（国家安全生产监督管理总局令第40号，根据国家安全监管总局令第79号修正）第十三条。</w:t>
            </w:r>
          </w:p>
        </w:tc>
      </w:tr>
      <w:tr>
        <w:tblPrEx>
          <w:tblCellMar>
            <w:top w:w="0" w:type="dxa"/>
            <w:left w:w="108" w:type="dxa"/>
            <w:bottom w:w="0" w:type="dxa"/>
            <w:right w:w="108" w:type="dxa"/>
          </w:tblCellMar>
        </w:tblPrEx>
        <w:trPr>
          <w:trHeight w:val="40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5.应急事故池。有满足事故状态下临时贮存废水、防止漫流的应急事故池。</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《化工建设项目环境保护设计规范》（GB50483-2009）6.6事故应急措施。</w:t>
            </w:r>
          </w:p>
        </w:tc>
      </w:tr>
      <w:tr>
        <w:tblPrEx>
          <w:tblCellMar>
            <w:top w:w="0" w:type="dxa"/>
            <w:left w:w="108" w:type="dxa"/>
            <w:bottom w:w="0" w:type="dxa"/>
            <w:right w:w="108" w:type="dxa"/>
          </w:tblCellMar>
        </w:tblPrEx>
        <w:trPr>
          <w:trHeight w:val="139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应急物资装备</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1.根据本单位危险化学品的种类、数量和危险化学品事故可能造成的危害进行配置，按照《危险化学品单位应急救援物资配备要求》（GB 30077）配备相应应急物资；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2.生产、储存和使用氯气、氨气、光气、硫化氢等吸入性有毒有害气体的企业，还应当配备至少2套以上全封闭防化服。</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2.《危险化学品生产企业安全生产许可证实施办法》（国家安全监管总局令第41号，根据国家安全监管总局令第89号修正）第二十一条。</w:t>
            </w:r>
          </w:p>
          <w:p>
            <w:pPr>
              <w:widowControl/>
              <w:spacing w:line="220" w:lineRule="exact"/>
              <w:rPr>
                <w:rFonts w:ascii="楷体_GB2312" w:hAnsi="宋体" w:eastAsia="楷体_GB2312" w:cs="宋体"/>
                <w:kern w:val="0"/>
                <w:szCs w:val="21"/>
              </w:rPr>
            </w:pPr>
            <w:r>
              <w:rPr>
                <w:rFonts w:hint="eastAsia" w:ascii="楷体_GB2312" w:hAnsi="宋体" w:eastAsia="楷体_GB2312" w:cs="宋体"/>
                <w:kern w:val="0"/>
                <w:szCs w:val="21"/>
              </w:rPr>
              <w:t>3.《危险化学品单位应急救援物资配备要求》（GB 30077-2013）。</w:t>
            </w:r>
          </w:p>
        </w:tc>
      </w:tr>
      <w:tr>
        <w:tblPrEx>
          <w:tblCellMar>
            <w:top w:w="0" w:type="dxa"/>
            <w:left w:w="108" w:type="dxa"/>
            <w:bottom w:w="0" w:type="dxa"/>
            <w:right w:w="108" w:type="dxa"/>
          </w:tblCellMar>
        </w:tblPrEx>
        <w:trPr>
          <w:trHeight w:val="6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维护管理</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建立应急设施和物资装备的管理制度和台账清单，按要求经常性维护、保养，确保完好。</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2.《生产安全事故应急条例》第十三条。</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要素11：救援队伍建设</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cantSplit/>
          <w:trHeight w:val="212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队伍设置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1.危险化学品生产、经营、储存企业应当建立应急救援队伍；</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2.危险化学品生产、经营、储存企业中小型企业或者微型企业等规模较小的，可以不建立应急救援队伍，但应当指定兼职的应急救援人员，并且可以与邻近的应急救援队伍签订应急救援协议；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3.工业园区、开发区等产业聚集区域内的危险化学品生产、经营、储存企业，可以联合建立应急救援队伍。</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1.《中华人民共和国安全生产法》第七十九条。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2.《消防法》第三十九条。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3.《生产安全事故应急条例》第十条。</w:t>
            </w:r>
          </w:p>
          <w:p>
            <w:pPr>
              <w:jc w:val="left"/>
              <w:rPr>
                <w:rFonts w:ascii="楷体_GB2312" w:hAnsi="宋体" w:eastAsia="楷体_GB2312" w:cs="宋体"/>
                <w:kern w:val="0"/>
                <w:szCs w:val="21"/>
              </w:rPr>
            </w:pPr>
          </w:p>
        </w:tc>
      </w:tr>
      <w:tr>
        <w:tblPrEx>
          <w:tblCellMar>
            <w:top w:w="0" w:type="dxa"/>
            <w:left w:w="108" w:type="dxa"/>
            <w:bottom w:w="0" w:type="dxa"/>
            <w:right w:w="108" w:type="dxa"/>
          </w:tblCellMar>
        </w:tblPrEx>
        <w:trPr>
          <w:cantSplit/>
          <w:trHeight w:val="144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能力要求</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应急救援人员应当具备必要的专业知识、技能、身体素质和心理素质。</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2.《危险化学品应急救援管理人员培训及考核要求》（AQ/T3043-2013 ）6 考核标准。</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3.《国家安全监管总局关于加强矿山危险化学品应急救援骨干队伍建设的指导意见》（安监总应急〔2009〕126号）三、建设任务（二）队伍素质。</w:t>
            </w:r>
          </w:p>
        </w:tc>
      </w:tr>
      <w:tr>
        <w:tblPrEx>
          <w:tblCellMar>
            <w:top w:w="0" w:type="dxa"/>
            <w:left w:w="108" w:type="dxa"/>
            <w:bottom w:w="0" w:type="dxa"/>
            <w:right w:w="108" w:type="dxa"/>
          </w:tblCellMar>
        </w:tblPrEx>
        <w:trPr>
          <w:cantSplit/>
          <w:trHeight w:val="1565"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1.《危险化学品应急救援管理人员培训及考核要求》（AQ/T3043-2013） 5培训内容。</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2.《国家安全监管总局关于加强科学施救提高生产安全事故灾难应急救援水平的指导意见》（安监总应急〔2012〕147号）（十五）加强高危行业企业相关人员的培训教育。</w:t>
            </w:r>
          </w:p>
        </w:tc>
      </w:tr>
      <w:tr>
        <w:tblPrEx>
          <w:tblCellMar>
            <w:top w:w="0" w:type="dxa"/>
            <w:left w:w="108" w:type="dxa"/>
            <w:bottom w:w="0" w:type="dxa"/>
            <w:right w:w="108" w:type="dxa"/>
          </w:tblCellMar>
        </w:tblPrEx>
        <w:trPr>
          <w:cantSplit/>
          <w:trHeight w:val="111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2.根据企业可能发生的生产安全事故的特点和危害，配备必要的应急救援装备和物资，定期组织训练，并经常维护、保养，保证正常运转。</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《生产安全事故应急条例》第十一条、第十三条。</w:t>
            </w:r>
          </w:p>
        </w:tc>
      </w:tr>
    </w:tbl>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要素11：救援队伍建设（续）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cantSplit/>
          <w:trHeight w:val="2548"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nil"/>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3.应加强战训管理（含演练、技战术研究），开展形式多样的应急演练，掌握处置要点，优化处置方案。</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9009-2015）附录A实战演练评估。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CellMar>
            <w:top w:w="0" w:type="dxa"/>
            <w:left w:w="108" w:type="dxa"/>
            <w:bottom w:w="0" w:type="dxa"/>
            <w:right w:w="108" w:type="dxa"/>
          </w:tblCellMar>
        </w:tblPrEx>
        <w:trPr>
          <w:cantSplit/>
          <w:trHeight w:val="1165"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 建立应急值班制度，配备应急值班人员。</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cantSplit/>
          <w:trHeight w:val="296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对外公布与调动</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1.生产经营单位应当及时将本单位应急救援队伍建立情况按照国家有关规定报送县级以上人民政府负有安全生产监督管理职责的部门，并依法向社会公布；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2.应急救援队伍接到有关人民政府及其部门的救援命令或者签有应急救援协议的生产经营单位的救援请求后，应当立即参加生产安全事故应急救援。</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《生产安全事故应急条例》第十二条、第十九条。</w:t>
            </w:r>
          </w:p>
        </w:tc>
      </w:tr>
    </w:tbl>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9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应急指挥与救援组织</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1.明确应急组织形式及组成单位或人员及其职责。应急组织机构根据事故类型和应急工作需要，可设置相应的应急工作小组，并明确各小组的工作任务及职责；</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2.救援队伍指挥员应当作为指挥部成员，充分运用应急指挥“一张图”等信息化手段参与制订救援方案等重大决策。</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2.《生产经营单位生产安全事故应急预案编制导则》（GB/T29639-2013） 6.3应急组织机构及职责、7.2应急指挥机构及职责、8.2应急工作职责。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w:t>
            </w:r>
            <w:r>
              <w:rPr>
                <w:rFonts w:hint="eastAsia" w:ascii="楷体_GB2312" w:hAnsi="宋体" w:eastAsia="楷体_GB2312" w:cs="宋体"/>
                <w:kern w:val="0"/>
                <w:szCs w:val="21"/>
              </w:rPr>
              <w:t xml:space="preserve"> 《生产安全事故应急条例》第二十条、二十一条。</w:t>
            </w:r>
          </w:p>
        </w:tc>
      </w:tr>
      <w:tr>
        <w:tblPrEx>
          <w:tblCellMar>
            <w:top w:w="0" w:type="dxa"/>
            <w:left w:w="108" w:type="dxa"/>
            <w:bottom w:w="0" w:type="dxa"/>
            <w:right w:w="108" w:type="dxa"/>
          </w:tblCellMar>
        </w:tblPrEx>
        <w:trPr>
          <w:trHeight w:val="281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应急救援基本原则</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1.坚持救人第一、防止灾害扩大的原则。在保障施救人员安全的前提下，迅速救人抢险；</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2.坚持统一领导、科学决策的原则。现场指挥部负责现场具体处置，重大决策由总指挥部决定；</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3.坚持信息畅通、协同应对的原则。总指挥部、现场指挥部与救援队伍应保证实时互通信息，与外部救援力量协同应对；</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4.坚持保护环境，减少污染的原则；</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5.在救援过程中</w:t>
            </w:r>
            <w:r>
              <w:rPr>
                <w:rFonts w:ascii="楷体_GB2312" w:hAnsi="宋体" w:eastAsia="楷体_GB2312" w:cs="宋体"/>
                <w:kern w:val="0"/>
                <w:szCs w:val="21"/>
              </w:rPr>
              <w:t>，有关单位和人员应</w:t>
            </w:r>
            <w:r>
              <w:rPr>
                <w:rFonts w:hint="eastAsia" w:ascii="楷体_GB2312" w:hAnsi="宋体" w:eastAsia="楷体_GB2312" w:cs="宋体"/>
                <w:kern w:val="0"/>
                <w:szCs w:val="21"/>
              </w:rPr>
              <w:t>考虑</w:t>
            </w:r>
            <w:r>
              <w:rPr>
                <w:rFonts w:ascii="楷体_GB2312" w:hAnsi="宋体" w:eastAsia="楷体_GB2312" w:cs="宋体"/>
                <w:kern w:val="0"/>
                <w:szCs w:val="21"/>
              </w:rPr>
              <w:t>妥善保护事故现场以及相关证据</w:t>
            </w:r>
            <w:r>
              <w:rPr>
                <w:rFonts w:hint="eastAsia" w:ascii="楷体_GB2312" w:hAnsi="宋体" w:eastAsia="楷体_GB2312" w:cs="宋体"/>
                <w:kern w:val="0"/>
                <w:szCs w:val="21"/>
              </w:rPr>
              <w:t>。</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《危险化学品事故应急救援指挥导则》（AQ/T 3052-2015）4 基本原则。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94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响应分级</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针对事故危害程度、影响范围，对事故应急响应进行分级，明确分级响应的基本原则。</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《生产经营单位生产安全事故应急预案编制导则》（GB/T29639-2013）6.5.1响应分级。</w:t>
            </w:r>
          </w:p>
        </w:tc>
      </w:tr>
      <w:tr>
        <w:tblPrEx>
          <w:tblCellMar>
            <w:top w:w="0" w:type="dxa"/>
            <w:left w:w="108" w:type="dxa"/>
            <w:bottom w:w="0" w:type="dxa"/>
            <w:right w:w="108" w:type="dxa"/>
          </w:tblCellMar>
        </w:tblPrEx>
        <w:trPr>
          <w:trHeight w:val="120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总体响应程序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根据事故级别和发展态势，明确应急指挥机构启动、应急资源调配、应急救援、扩大应急等响应程序。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《生产经营单位生产安全事故应急预案编制导则》（GB/T29639-2013）6.5.2响应程序。</w:t>
            </w:r>
          </w:p>
        </w:tc>
      </w:tr>
    </w:tbl>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117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岗位应急程序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根据可能发生的事故及现场情况，明确事故报警、各项应急措施启动、应急救护人员的引导、事故扩大及同生产经营单位应急预案衔接的程序。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tc>
      </w:tr>
      <w:tr>
        <w:tblPrEx>
          <w:tblCellMar>
            <w:top w:w="0" w:type="dxa"/>
            <w:left w:w="108" w:type="dxa"/>
            <w:bottom w:w="0" w:type="dxa"/>
            <w:right w:w="108" w:type="dxa"/>
          </w:tblCellMar>
        </w:tblPrEx>
        <w:trPr>
          <w:trHeight w:val="234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现场应急措施</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针对可能发生的火灾、爆炸、危险化学品泄漏等事故，从警戒隔离、人员救护与防护、遇险人员救护、公众安全防护、装备物资正确选用、工艺操作配合、现场监测、洗消、现场清理等方面制定明确的应急处置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2.遇到突发情况危及救援人员生命安全时，救援队伍指挥员有权作出处置决定，迅速带领救援人员撤出危险区域，并及时报告指挥部。</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3052-2015）5.2警戒隔离、5.3人员防护与救护、5.4现场处置、5.5现场监测、5.6洗消、5.7现场清理。</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04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重点监控危险化学品应急处置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涉及重点监管危险化学品的企业要针对本企业安全生产特点和产品特性，从完善安全监控措施、加强个体防护等方面，提升危险化学品应急处置能力。</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autoSpaceDE w:val="0"/>
              <w:autoSpaceDN w:val="0"/>
              <w:adjustRightInd w:val="0"/>
              <w:rPr>
                <w:rFonts w:ascii="楷体_GB2312" w:hAnsi="宋体" w:eastAsia="楷体_GB2312" w:cs="宋体"/>
                <w:kern w:val="0"/>
                <w:szCs w:val="21"/>
              </w:rPr>
            </w:pPr>
            <w:r>
              <w:rPr>
                <w:rFonts w:hint="eastAsia" w:ascii="楷体_GB2312" w:hAnsi="宋体" w:eastAsia="楷体_GB2312" w:cs="宋体"/>
                <w:kern w:val="0"/>
                <w:szCs w:val="21"/>
              </w:rPr>
              <w:t>1.《国家安全监管总局办公厅关于印发首批重点监管的危险化学品安全措施和应急处置原则的通知》（安监总厅管三〔</w:t>
            </w:r>
            <w:r>
              <w:rPr>
                <w:rFonts w:ascii="楷体_GB2312" w:hAnsi="宋体" w:eastAsia="楷体_GB2312" w:cs="宋体"/>
                <w:kern w:val="0"/>
                <w:szCs w:val="21"/>
              </w:rPr>
              <w:t>2011</w:t>
            </w:r>
            <w:r>
              <w:rPr>
                <w:rFonts w:hint="eastAsia" w:ascii="楷体_GB2312" w:hAnsi="宋体" w:eastAsia="楷体_GB2312" w:cs="宋体"/>
                <w:kern w:val="0"/>
                <w:szCs w:val="21"/>
              </w:rPr>
              <w:t>〕</w:t>
            </w:r>
            <w:r>
              <w:rPr>
                <w:rFonts w:ascii="楷体_GB2312" w:hAnsi="宋体" w:eastAsia="楷体_GB2312" w:cs="宋体"/>
                <w:kern w:val="0"/>
                <w:szCs w:val="21"/>
              </w:rPr>
              <w:t xml:space="preserve">142 </w:t>
            </w:r>
            <w:r>
              <w:rPr>
                <w:rFonts w:hint="eastAsia" w:ascii="楷体_GB2312" w:hAnsi="宋体" w:eastAsia="楷体_GB2312" w:cs="宋体"/>
                <w:kern w:val="0"/>
                <w:szCs w:val="21"/>
              </w:rPr>
              <w:t>号）有关要求及附件《首批重点监管的危险化学品安全措施和应急处置原则》。</w:t>
            </w:r>
          </w:p>
          <w:p>
            <w:pPr>
              <w:widowControl/>
              <w:rPr>
                <w:rFonts w:ascii="楷体_GB2312" w:hAnsi="宋体" w:eastAsia="楷体_GB2312" w:cs="宋体"/>
                <w:kern w:val="0"/>
                <w:szCs w:val="21"/>
              </w:rPr>
            </w:pPr>
            <w:r>
              <w:rPr>
                <w:rFonts w:hint="eastAsia" w:ascii="楷体_GB2312" w:hAnsi="宋体" w:eastAsia="楷体_GB2312" w:cs="宋体"/>
                <w:kern w:val="0"/>
                <w:szCs w:val="21"/>
              </w:rPr>
              <w:t>2.《国家安全监管总局关于公布第二批重点监管危险化学品名录的通知》（安监总管三〔</w:t>
            </w:r>
            <w:r>
              <w:rPr>
                <w:rFonts w:ascii="楷体_GB2312" w:hAnsi="宋体" w:eastAsia="楷体_GB2312" w:cs="宋体"/>
                <w:kern w:val="0"/>
                <w:szCs w:val="21"/>
              </w:rPr>
              <w:t>2013</w:t>
            </w:r>
            <w:r>
              <w:rPr>
                <w:rFonts w:hint="eastAsia" w:ascii="楷体_GB2312" w:hAnsi="宋体" w:eastAsia="楷体_GB2312" w:cs="宋体"/>
                <w:kern w:val="0"/>
                <w:szCs w:val="21"/>
              </w:rPr>
              <w:t>〕</w:t>
            </w:r>
            <w:r>
              <w:rPr>
                <w:rFonts w:ascii="楷体_GB2312" w:hAnsi="宋体" w:eastAsia="楷体_GB2312" w:cs="宋体"/>
                <w:kern w:val="0"/>
                <w:szCs w:val="21"/>
              </w:rPr>
              <w:t xml:space="preserve">12 </w:t>
            </w:r>
            <w:r>
              <w:rPr>
                <w:rFonts w:hint="eastAsia" w:ascii="楷体_GB2312" w:hAnsi="宋体" w:eastAsia="楷体_GB2312" w:cs="宋体"/>
                <w:kern w:val="0"/>
                <w:szCs w:val="21"/>
              </w:rPr>
              <w:t>号）附件2《第二批重点监管的危险化学品安全措施和应急处置原则》。</w:t>
            </w:r>
          </w:p>
        </w:tc>
      </w:tr>
      <w:tr>
        <w:tblPrEx>
          <w:tblCellMar>
            <w:top w:w="0" w:type="dxa"/>
            <w:left w:w="108" w:type="dxa"/>
            <w:bottom w:w="0" w:type="dxa"/>
            <w:right w:w="108" w:type="dxa"/>
          </w:tblCellMar>
        </w:tblPrEx>
        <w:trPr>
          <w:trHeight w:val="16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配合政府应急处置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突发事件发生地的其他单位应当服从人民政府发布的决定、命令，配合人民政府采取的应急处置措施，做好本单位的应急救援工作，并积极组织人员参加所在地的应急救援和处置工作。</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《中华人民共和国突发事件应对法》第五十六条。</w:t>
            </w:r>
          </w:p>
        </w:tc>
      </w:tr>
    </w:tbl>
    <w:p>
      <w:pPr>
        <w:widowControl/>
        <w:jc w:val="left"/>
        <w:rPr>
          <w:rFonts w:ascii="华文中宋" w:hAnsi="华文中宋" w:eastAsia="华文中宋" w:cs="宋体"/>
          <w:kern w:val="0"/>
          <w:sz w:val="30"/>
          <w:szCs w:val="30"/>
        </w:rPr>
      </w:pPr>
    </w:p>
    <w:p>
      <w:pPr>
        <w:widowControl/>
        <w:jc w:val="left"/>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要素13：应急准备恢复</w:t>
      </w:r>
    </w:p>
    <w:tbl>
      <w:tblPr>
        <w:tblStyle w:val="11"/>
        <w:tblW w:w="14034" w:type="dxa"/>
        <w:tblInd w:w="-318" w:type="dxa"/>
        <w:tblLayout w:type="fixed"/>
        <w:tblCellMar>
          <w:top w:w="0" w:type="dxa"/>
          <w:left w:w="108" w:type="dxa"/>
          <w:bottom w:w="0" w:type="dxa"/>
          <w:right w:w="108" w:type="dxa"/>
        </w:tblCellMar>
      </w:tblPr>
      <w:tblGrid>
        <w:gridCol w:w="710"/>
        <w:gridCol w:w="1134"/>
        <w:gridCol w:w="4109"/>
        <w:gridCol w:w="8081"/>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80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2317" w:hRule="atLeast"/>
        </w:trPr>
        <w:tc>
          <w:tcPr>
            <w:tcW w:w="710" w:type="dxa"/>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jc w:val="center"/>
              <w:rPr>
                <w:rFonts w:ascii="楷体_GB2312" w:hAnsi="宋体" w:eastAsia="楷体_GB2312" w:cs="宋体"/>
                <w:kern w:val="0"/>
                <w:szCs w:val="21"/>
              </w:rPr>
            </w:pPr>
          </w:p>
        </w:tc>
        <w:tc>
          <w:tcPr>
            <w:tcW w:w="1134"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事后风险评估</w:t>
            </w:r>
          </w:p>
        </w:tc>
        <w:tc>
          <w:tcPr>
            <w:tcW w:w="4109"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1.排查、消除现场事故隐患；</w:t>
            </w:r>
          </w:p>
          <w:p>
            <w:pPr>
              <w:jc w:val="left"/>
              <w:rPr>
                <w:rFonts w:ascii="楷体_GB2312" w:hAnsi="宋体" w:eastAsia="楷体_GB2312" w:cs="宋体"/>
                <w:kern w:val="0"/>
                <w:szCs w:val="21"/>
              </w:rPr>
            </w:pPr>
            <w:r>
              <w:rPr>
                <w:rFonts w:hint="eastAsia" w:ascii="楷体_GB2312" w:hAnsi="宋体" w:eastAsia="楷体_GB2312" w:cs="宋体"/>
                <w:kern w:val="0"/>
                <w:szCs w:val="21"/>
              </w:rPr>
              <w:t>2.排查、消除现场次生、衍生事故风险。</w:t>
            </w:r>
          </w:p>
        </w:tc>
        <w:tc>
          <w:tcPr>
            <w:tcW w:w="8081"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国务院关于推进安全生产领域改革发展的意见》（二十二）建立隐患治理监督机制。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2.《国务院安委会关于进一步加强生产安全事故应急处置工作的通知》（安委〔2013〕8号）四、加强事故应急处置相关工作（四）稳妥做好善后处置工作。</w:t>
            </w:r>
          </w:p>
          <w:p>
            <w:pPr>
              <w:jc w:val="left"/>
              <w:rPr>
                <w:rFonts w:ascii="楷体_GB2312" w:hAnsi="宋体" w:eastAsia="楷体_GB2312" w:cs="宋体"/>
                <w:kern w:val="0"/>
                <w:szCs w:val="21"/>
              </w:rPr>
            </w:pPr>
            <w:r>
              <w:rPr>
                <w:rFonts w:hint="eastAsia" w:ascii="楷体_GB2312" w:hAnsi="宋体" w:eastAsia="楷体_GB2312" w:cs="宋体"/>
                <w:kern w:val="0"/>
                <w:szCs w:val="21"/>
              </w:rPr>
              <w:t>3.《中华人民共和国突发事件应对法》第五十八条。</w:t>
            </w:r>
          </w:p>
        </w:tc>
      </w:tr>
      <w:tr>
        <w:tblPrEx>
          <w:tblCellMar>
            <w:top w:w="0" w:type="dxa"/>
            <w:left w:w="108" w:type="dxa"/>
            <w:bottom w:w="0" w:type="dxa"/>
            <w:right w:w="108" w:type="dxa"/>
          </w:tblCellMar>
        </w:tblPrEx>
        <w:trPr>
          <w:trHeight w:val="218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应急准备恢复</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维护、补充、更新装备、物资，休整队伍，恢复到正常应急准备状态。</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1.《国务院安委会关于进一步加强生产安全事故应急处置工作的通知》（安委〔2013〕8号）四、加强事故应急处置相关工作（四）稳妥做好善后处置工作。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2.《生产安全事故应急条例》第十三条。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3.《国家安全监管总局关于加强科学施救提高生产安全事故灾难应急救援水平的指导意见》（安监总应急〔2012〕147号）（七）完善安全生产应急救援装备和物资体系。</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214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应急处置评估</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生产安全事故调查组应当对应急救援工作进行评估，并在事故调查报告中作出评估结论。在事故救援结束后应当开展应急处置工作总结。</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1.《生产安全事故应急条例》第二十七条。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2.《生产安全事故应急处置评估暂行办法》（</w:t>
            </w:r>
            <w:r>
              <w:rPr>
                <w:rFonts w:hint="eastAsia" w:ascii="楷体_GB2312" w:eastAsia="楷体_GB2312"/>
                <w:color w:val="333333"/>
                <w:sz w:val="22"/>
                <w:shd w:val="clear" w:color="auto" w:fill="FFFFFF"/>
              </w:rPr>
              <w:t>安监总厅应急〔2014〕95号</w:t>
            </w:r>
            <w:r>
              <w:rPr>
                <w:rFonts w:hint="eastAsia" w:ascii="楷体_GB2312" w:hAnsi="宋体" w:eastAsia="楷体_GB2312" w:cs="宋体"/>
                <w:kern w:val="0"/>
                <w:szCs w:val="21"/>
              </w:rPr>
              <w:t>）第七条、第八条、第十二条。</w:t>
            </w:r>
          </w:p>
          <w:p>
            <w:pPr>
              <w:widowControl/>
              <w:jc w:val="left"/>
              <w:rPr>
                <w:rFonts w:ascii="楷体_GB2312" w:hAnsi="宋体" w:eastAsia="楷体_GB2312" w:cs="宋体"/>
                <w:kern w:val="0"/>
                <w:szCs w:val="21"/>
              </w:rPr>
            </w:pPr>
          </w:p>
        </w:tc>
      </w:tr>
    </w:tbl>
    <w:p>
      <w:pPr>
        <w:widowControl/>
        <w:jc w:val="left"/>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44"/>
          <w:szCs w:val="44"/>
        </w:rPr>
        <w:t>危险化学品企业生产安全事故应急准备工作表</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要素14：经费保障</w:t>
      </w:r>
    </w:p>
    <w:tbl>
      <w:tblPr>
        <w:tblStyle w:val="11"/>
        <w:tblW w:w="14034" w:type="dxa"/>
        <w:tblInd w:w="-318" w:type="dxa"/>
        <w:tblLayout w:type="fixed"/>
        <w:tblCellMar>
          <w:top w:w="0" w:type="dxa"/>
          <w:left w:w="108" w:type="dxa"/>
          <w:bottom w:w="0" w:type="dxa"/>
          <w:right w:w="108" w:type="dxa"/>
        </w:tblCellMar>
      </w:tblPr>
      <w:tblGrid>
        <w:gridCol w:w="710"/>
        <w:gridCol w:w="1134"/>
        <w:gridCol w:w="4112"/>
        <w:gridCol w:w="8078"/>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4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内容</w:t>
            </w:r>
          </w:p>
        </w:tc>
        <w:tc>
          <w:tcPr>
            <w:tcW w:w="8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黑体"/>
                <w:kern w:val="0"/>
                <w:szCs w:val="21"/>
              </w:rPr>
            </w:pPr>
            <w:r>
              <w:rPr>
                <w:rFonts w:hint="eastAsia" w:ascii="黑体" w:hAnsi="黑体" w:eastAsia="黑体" w:cs="黑体"/>
                <w:kern w:val="0"/>
                <w:szCs w:val="21"/>
              </w:rPr>
              <w:t>依据</w:t>
            </w:r>
          </w:p>
        </w:tc>
      </w:tr>
      <w:tr>
        <w:tblPrEx>
          <w:tblCellMar>
            <w:top w:w="0" w:type="dxa"/>
            <w:left w:w="108" w:type="dxa"/>
            <w:bottom w:w="0" w:type="dxa"/>
            <w:right w:w="108" w:type="dxa"/>
          </w:tblCellMar>
        </w:tblPrEx>
        <w:trPr>
          <w:trHeight w:val="320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应急资金预算</w:t>
            </w:r>
          </w:p>
        </w:tc>
        <w:tc>
          <w:tcPr>
            <w:tcW w:w="4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1.企业年度预算中应包含应急教育、培训、演练，应急装备与设施检测、维护、更新，应急物资、器材采购等有关应急资金预算；</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2.企业应急资金使用计划应包括应急准备项目资金详细计划；</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3.企业应制定应急资金使用的进度安排。</w:t>
            </w:r>
          </w:p>
        </w:tc>
        <w:tc>
          <w:tcPr>
            <w:tcW w:w="807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1.《国务院安委会办公室关于贯彻落实国务院&lt;通知&gt;精神进一步加强安全生产应急救援体系建设的实施意见》（安委办〔2010〕25号）（十七）研究制定并落实安全生产应急工作政策措施。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《企业安全生产费用提取和使用管理办法》 （</w:t>
            </w:r>
            <w:r>
              <w:rPr>
                <w:rFonts w:hint="eastAsia" w:ascii="楷体_GB2312" w:hAnsi="宋体" w:eastAsia="楷体_GB2312" w:cs="宋体"/>
                <w:kern w:val="0"/>
                <w:szCs w:val="21"/>
              </w:rPr>
              <w:t>财企〔2012〕16号）第二十条、第三十二条。</w:t>
            </w:r>
          </w:p>
        </w:tc>
      </w:tr>
      <w:tr>
        <w:tblPrEx>
          <w:tblCellMar>
            <w:top w:w="0" w:type="dxa"/>
            <w:left w:w="108" w:type="dxa"/>
            <w:bottom w:w="0" w:type="dxa"/>
            <w:right w:w="108" w:type="dxa"/>
          </w:tblCellMar>
        </w:tblPrEx>
        <w:trPr>
          <w:trHeight w:val="2468" w:hRule="atLeast"/>
        </w:trPr>
        <w:tc>
          <w:tcPr>
            <w:tcW w:w="71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救援费用承担</w:t>
            </w:r>
          </w:p>
        </w:tc>
        <w:tc>
          <w:tcPr>
            <w:tcW w:w="4112"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应急救援队伍根据救援命令参加生产安全事故应急救援所耗费用，由事故责任单位承担；事故责任单位无力承担的，由有关人民政府协调解决。</w:t>
            </w:r>
          </w:p>
        </w:tc>
        <w:tc>
          <w:tcPr>
            <w:tcW w:w="8078" w:type="dxa"/>
            <w:vMerge w:val="restart"/>
            <w:tcBorders>
              <w:top w:val="nil"/>
              <w:left w:val="nil"/>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《生产安全事故应急条例》第十九条。</w:t>
            </w:r>
          </w:p>
        </w:tc>
      </w:tr>
      <w:tr>
        <w:tblPrEx>
          <w:tblCellMar>
            <w:top w:w="0" w:type="dxa"/>
            <w:left w:w="108" w:type="dxa"/>
            <w:bottom w:w="0" w:type="dxa"/>
            <w:right w:w="108" w:type="dxa"/>
          </w:tblCellMar>
        </w:tblPrEx>
        <w:trPr>
          <w:trHeight w:val="43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楷体_GB2312" w:hAnsi="宋体" w:eastAsia="楷体_GB2312" w:cs="宋体"/>
                <w:kern w:val="0"/>
                <w:szCs w:val="21"/>
              </w:rPr>
            </w:pPr>
          </w:p>
        </w:tc>
        <w:tc>
          <w:tcPr>
            <w:tcW w:w="1134"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112"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8078" w:type="dxa"/>
            <w:vMerge w:val="continue"/>
            <w:tcBorders>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r>
    </w:tbl>
    <w:p>
      <w:pPr>
        <w:widowControl/>
        <w:ind w:firstLine="300" w:firstLineChars="200"/>
        <w:jc w:val="left"/>
        <w:rPr>
          <w:rFonts w:ascii="仿宋_GB2312" w:eastAsia="仿宋_GB2312"/>
          <w:sz w:val="15"/>
          <w:szCs w:val="15"/>
        </w:rPr>
      </w:pPr>
    </w:p>
    <w:sectPr>
      <w:footerReference r:id="rId4" w:type="default"/>
      <w:pgSz w:w="16838" w:h="11906" w:orient="landscape"/>
      <w:pgMar w:top="1587" w:right="1474" w:bottom="1587" w:left="1701" w:header="0" w:footer="907" w:gutter="0"/>
      <w:pgNumType w:start="8"/>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7635" cy="19939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a:effectLst/>
                    </wps:spPr>
                    <wps:txbx>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1</w:t>
                          </w:r>
                          <w:r>
                            <w:rPr>
                              <w:rFonts w:hint="eastAsia" w:ascii="仿宋_GB2312" w:hAnsi="仿宋_GB2312" w:eastAsia="仿宋_GB2312" w:cs="仿宋_GB2312"/>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7pt;width:10.05pt;mso-position-horizontal:center;mso-position-horizontal-relative:margin;mso-wrap-style:none;z-index:251659264;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WDK40QAAAAMBAAAPAAAAAAAAAAEAIAAAACIAAABkcnMvZG93bnJldi54&#10;bWxQSwECFAAUAAAACACHTuJAXoUX1AECAAASBAAADgAAAAAAAAABACAAAAAgAQAAZHJzL2Uyb0Rv&#10;Yy54bWxQSwUGAAAAAAYABgBZAQAAkwU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7635" cy="199390"/>
              <wp:effectExtent l="0" t="0" r="0" b="0"/>
              <wp:wrapNone/>
              <wp:docPr id="2"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27635" cy="199390"/>
                      </a:xfrm>
                      <a:prstGeom prst="rect">
                        <a:avLst/>
                      </a:prstGeom>
                      <a:noFill/>
                      <a:ln>
                        <a:noFill/>
                      </a:ln>
                      <a:effectLst/>
                    </wps:spPr>
                    <wps:txbx>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36</w:t>
                          </w:r>
                          <w:r>
                            <w:rPr>
                              <w:rFonts w:hint="eastAsia" w:ascii="仿宋_GB2312" w:hAnsi="仿宋_GB2312" w:eastAsia="仿宋_GB2312" w:cs="仿宋_GB2312"/>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7pt;width:10.05pt;mso-position-horizontal:center;mso-position-horizontal-relative:margin;mso-wrap-style:none;z-index:251660288;mso-width-relative:page;mso-height-relative:page;" filled="f" stroked="f" coordsize="21600,21600"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gyuNEAAAADAQAADwAAAAAAAAABACAAAAAiAAAAZHJzL2Rvd25yZXYu&#10;eG1sUEsBAhQAFAAAAAgAh07iQCphCXECAgAAEgQAAA4AAAAAAAAAAQAgAAAAIAEAAGRycy9lMm9E&#10;b2MueG1sUEsFBgAAAAAGAAYAWQEAAJQFAAAAAA==&#10;">
              <v:fill on="f" focussize="0,0"/>
              <v:stroke on="f"/>
              <v:imagedata o:title=""/>
              <o:lock v:ext="edit" aspectratio="f"/>
              <v:textbox inset="0mm,0mm,0mm,0mm" style="mso-fit-shape-to-text:t;">
                <w:txbxContent>
                  <w:p>
                    <w:pPr>
                      <w:pStyle w:val="7"/>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ascii="仿宋_GB2312" w:hAnsi="仿宋_GB2312" w:eastAsia="仿宋_GB2312" w:cs="仿宋_GB2312"/>
                      </w:rPr>
                      <w:t>36</w:t>
                    </w:r>
                    <w:r>
                      <w:rPr>
                        <w:rFonts w:hint="eastAsia" w:ascii="仿宋_GB2312" w:hAnsi="仿宋_GB2312" w:eastAsia="仿宋_GB2312" w:cs="仿宋_GB2312"/>
                      </w:rPr>
                      <w:fldChar w:fldCharType="end"/>
                    </w:r>
                  </w:p>
                </w:txbxContent>
              </v:textbox>
            </v:shape>
          </w:pict>
        </mc:Fallback>
      </mc:AlternateContent>
    </w:r>
    <w:sdt>
      <w:sdtPr>
        <w:id w:val="30217226"/>
      </w:sdtP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7D5B0"/>
    <w:multiLevelType w:val="singleLevel"/>
    <w:tmpl w:val="DD27D5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1C"/>
    <w:rsid w:val="000024BE"/>
    <w:rsid w:val="00003565"/>
    <w:rsid w:val="00004570"/>
    <w:rsid w:val="00004666"/>
    <w:rsid w:val="0000696C"/>
    <w:rsid w:val="00006BD8"/>
    <w:rsid w:val="00010064"/>
    <w:rsid w:val="000109A2"/>
    <w:rsid w:val="0001196B"/>
    <w:rsid w:val="000125C7"/>
    <w:rsid w:val="00013E9F"/>
    <w:rsid w:val="00013F5F"/>
    <w:rsid w:val="0001489E"/>
    <w:rsid w:val="000157D8"/>
    <w:rsid w:val="00016C71"/>
    <w:rsid w:val="00020D8F"/>
    <w:rsid w:val="00021DE9"/>
    <w:rsid w:val="000227F9"/>
    <w:rsid w:val="000230F2"/>
    <w:rsid w:val="000243FD"/>
    <w:rsid w:val="0002441A"/>
    <w:rsid w:val="00024432"/>
    <w:rsid w:val="0002627D"/>
    <w:rsid w:val="000277C5"/>
    <w:rsid w:val="00030255"/>
    <w:rsid w:val="00030E09"/>
    <w:rsid w:val="00031327"/>
    <w:rsid w:val="0003193E"/>
    <w:rsid w:val="000330DF"/>
    <w:rsid w:val="00033C82"/>
    <w:rsid w:val="0003484D"/>
    <w:rsid w:val="000352F9"/>
    <w:rsid w:val="00035DAC"/>
    <w:rsid w:val="00035DDE"/>
    <w:rsid w:val="000361F2"/>
    <w:rsid w:val="00036273"/>
    <w:rsid w:val="00036788"/>
    <w:rsid w:val="000405E2"/>
    <w:rsid w:val="00040A6D"/>
    <w:rsid w:val="0004118D"/>
    <w:rsid w:val="00044DC8"/>
    <w:rsid w:val="00053E80"/>
    <w:rsid w:val="00054DDA"/>
    <w:rsid w:val="00056260"/>
    <w:rsid w:val="00056510"/>
    <w:rsid w:val="00056C06"/>
    <w:rsid w:val="00057218"/>
    <w:rsid w:val="000704E4"/>
    <w:rsid w:val="00072AA9"/>
    <w:rsid w:val="00075273"/>
    <w:rsid w:val="000764BD"/>
    <w:rsid w:val="000775FB"/>
    <w:rsid w:val="00080165"/>
    <w:rsid w:val="00082D89"/>
    <w:rsid w:val="00083BD6"/>
    <w:rsid w:val="00083FC3"/>
    <w:rsid w:val="00086969"/>
    <w:rsid w:val="00087522"/>
    <w:rsid w:val="000912B9"/>
    <w:rsid w:val="00092FF2"/>
    <w:rsid w:val="00093150"/>
    <w:rsid w:val="00095C9D"/>
    <w:rsid w:val="000961F8"/>
    <w:rsid w:val="000A1741"/>
    <w:rsid w:val="000A1CC2"/>
    <w:rsid w:val="000A2992"/>
    <w:rsid w:val="000A4AE7"/>
    <w:rsid w:val="000B09A8"/>
    <w:rsid w:val="000B1489"/>
    <w:rsid w:val="000B1763"/>
    <w:rsid w:val="000B2552"/>
    <w:rsid w:val="000B7819"/>
    <w:rsid w:val="000C4F73"/>
    <w:rsid w:val="000C5A76"/>
    <w:rsid w:val="000C6558"/>
    <w:rsid w:val="000D3A16"/>
    <w:rsid w:val="000D772B"/>
    <w:rsid w:val="000E0875"/>
    <w:rsid w:val="000E285E"/>
    <w:rsid w:val="000E28E9"/>
    <w:rsid w:val="000E34E3"/>
    <w:rsid w:val="000E6629"/>
    <w:rsid w:val="000F4B04"/>
    <w:rsid w:val="00101EA3"/>
    <w:rsid w:val="00102CAB"/>
    <w:rsid w:val="00103F5B"/>
    <w:rsid w:val="0010460B"/>
    <w:rsid w:val="00105AE1"/>
    <w:rsid w:val="00105C90"/>
    <w:rsid w:val="00106312"/>
    <w:rsid w:val="00107B09"/>
    <w:rsid w:val="00110147"/>
    <w:rsid w:val="0011041D"/>
    <w:rsid w:val="00110D05"/>
    <w:rsid w:val="00112D07"/>
    <w:rsid w:val="00114987"/>
    <w:rsid w:val="00115694"/>
    <w:rsid w:val="00115E42"/>
    <w:rsid w:val="0012264E"/>
    <w:rsid w:val="00122CFF"/>
    <w:rsid w:val="00123326"/>
    <w:rsid w:val="0012416E"/>
    <w:rsid w:val="00125399"/>
    <w:rsid w:val="00125F06"/>
    <w:rsid w:val="001333AF"/>
    <w:rsid w:val="0013352A"/>
    <w:rsid w:val="00133591"/>
    <w:rsid w:val="00133A41"/>
    <w:rsid w:val="0013735B"/>
    <w:rsid w:val="0014016C"/>
    <w:rsid w:val="001431BA"/>
    <w:rsid w:val="00144374"/>
    <w:rsid w:val="001449EA"/>
    <w:rsid w:val="00147206"/>
    <w:rsid w:val="0015045A"/>
    <w:rsid w:val="00153337"/>
    <w:rsid w:val="001533B9"/>
    <w:rsid w:val="001552FF"/>
    <w:rsid w:val="00155406"/>
    <w:rsid w:val="00155B9D"/>
    <w:rsid w:val="00155C00"/>
    <w:rsid w:val="00156079"/>
    <w:rsid w:val="00157B95"/>
    <w:rsid w:val="00160709"/>
    <w:rsid w:val="0016381A"/>
    <w:rsid w:val="00163F37"/>
    <w:rsid w:val="00164473"/>
    <w:rsid w:val="0016533C"/>
    <w:rsid w:val="00165EE3"/>
    <w:rsid w:val="001671D6"/>
    <w:rsid w:val="001676B6"/>
    <w:rsid w:val="00170747"/>
    <w:rsid w:val="00171674"/>
    <w:rsid w:val="00175AF5"/>
    <w:rsid w:val="001777BC"/>
    <w:rsid w:val="001826BE"/>
    <w:rsid w:val="0018359A"/>
    <w:rsid w:val="00185719"/>
    <w:rsid w:val="001869EB"/>
    <w:rsid w:val="0018744A"/>
    <w:rsid w:val="0018759F"/>
    <w:rsid w:val="00190466"/>
    <w:rsid w:val="00191FB7"/>
    <w:rsid w:val="00194236"/>
    <w:rsid w:val="00196C27"/>
    <w:rsid w:val="001A5E49"/>
    <w:rsid w:val="001A6567"/>
    <w:rsid w:val="001A7706"/>
    <w:rsid w:val="001A7893"/>
    <w:rsid w:val="001B25D2"/>
    <w:rsid w:val="001B4D82"/>
    <w:rsid w:val="001C0102"/>
    <w:rsid w:val="001C0C2E"/>
    <w:rsid w:val="001C364B"/>
    <w:rsid w:val="001C416B"/>
    <w:rsid w:val="001C7E5D"/>
    <w:rsid w:val="001D03A1"/>
    <w:rsid w:val="001D26A4"/>
    <w:rsid w:val="001D3B98"/>
    <w:rsid w:val="001D4489"/>
    <w:rsid w:val="001D5892"/>
    <w:rsid w:val="001D5AD0"/>
    <w:rsid w:val="001E1C8F"/>
    <w:rsid w:val="001E1E0B"/>
    <w:rsid w:val="001E2A32"/>
    <w:rsid w:val="001E56F4"/>
    <w:rsid w:val="001E5855"/>
    <w:rsid w:val="001E7C5E"/>
    <w:rsid w:val="001F2C61"/>
    <w:rsid w:val="001F7CFC"/>
    <w:rsid w:val="00200D1B"/>
    <w:rsid w:val="0020330A"/>
    <w:rsid w:val="0020479B"/>
    <w:rsid w:val="002055F4"/>
    <w:rsid w:val="002069B6"/>
    <w:rsid w:val="002076FD"/>
    <w:rsid w:val="00213CE7"/>
    <w:rsid w:val="00215426"/>
    <w:rsid w:val="002175DC"/>
    <w:rsid w:val="0021783E"/>
    <w:rsid w:val="00220597"/>
    <w:rsid w:val="00220AC8"/>
    <w:rsid w:val="002246CC"/>
    <w:rsid w:val="002270F7"/>
    <w:rsid w:val="00227CEA"/>
    <w:rsid w:val="00231CFA"/>
    <w:rsid w:val="00233858"/>
    <w:rsid w:val="00233A0A"/>
    <w:rsid w:val="00233ACF"/>
    <w:rsid w:val="00233CDC"/>
    <w:rsid w:val="00234100"/>
    <w:rsid w:val="00235186"/>
    <w:rsid w:val="00236040"/>
    <w:rsid w:val="002365D7"/>
    <w:rsid w:val="0024026D"/>
    <w:rsid w:val="00240DFD"/>
    <w:rsid w:val="0024400D"/>
    <w:rsid w:val="002445B2"/>
    <w:rsid w:val="002467E9"/>
    <w:rsid w:val="00247402"/>
    <w:rsid w:val="0025119C"/>
    <w:rsid w:val="002517E3"/>
    <w:rsid w:val="00255ED0"/>
    <w:rsid w:val="00257470"/>
    <w:rsid w:val="00261948"/>
    <w:rsid w:val="00261ED4"/>
    <w:rsid w:val="00263967"/>
    <w:rsid w:val="0026418B"/>
    <w:rsid w:val="00264908"/>
    <w:rsid w:val="00264F84"/>
    <w:rsid w:val="0026669A"/>
    <w:rsid w:val="00267384"/>
    <w:rsid w:val="00272E61"/>
    <w:rsid w:val="002749A2"/>
    <w:rsid w:val="00274BA3"/>
    <w:rsid w:val="0028086D"/>
    <w:rsid w:val="00280DEE"/>
    <w:rsid w:val="00283BC3"/>
    <w:rsid w:val="00285233"/>
    <w:rsid w:val="00287014"/>
    <w:rsid w:val="00292609"/>
    <w:rsid w:val="00292673"/>
    <w:rsid w:val="0029379F"/>
    <w:rsid w:val="00294514"/>
    <w:rsid w:val="00294B47"/>
    <w:rsid w:val="002A192B"/>
    <w:rsid w:val="002A3313"/>
    <w:rsid w:val="002A69AF"/>
    <w:rsid w:val="002A6EAA"/>
    <w:rsid w:val="002A6FDE"/>
    <w:rsid w:val="002A708B"/>
    <w:rsid w:val="002B10FB"/>
    <w:rsid w:val="002B2515"/>
    <w:rsid w:val="002B28F7"/>
    <w:rsid w:val="002B3992"/>
    <w:rsid w:val="002B4055"/>
    <w:rsid w:val="002B5C7E"/>
    <w:rsid w:val="002C2564"/>
    <w:rsid w:val="002C5CCC"/>
    <w:rsid w:val="002C69DA"/>
    <w:rsid w:val="002C7257"/>
    <w:rsid w:val="002C76DA"/>
    <w:rsid w:val="002D0303"/>
    <w:rsid w:val="002D44B1"/>
    <w:rsid w:val="002E1C4B"/>
    <w:rsid w:val="002E21A2"/>
    <w:rsid w:val="002E2B89"/>
    <w:rsid w:val="002E3BC7"/>
    <w:rsid w:val="002E5E19"/>
    <w:rsid w:val="002E61F1"/>
    <w:rsid w:val="002F0140"/>
    <w:rsid w:val="002F047E"/>
    <w:rsid w:val="002F592D"/>
    <w:rsid w:val="00300B7F"/>
    <w:rsid w:val="003042D6"/>
    <w:rsid w:val="003062B8"/>
    <w:rsid w:val="00306383"/>
    <w:rsid w:val="00306C01"/>
    <w:rsid w:val="003119AF"/>
    <w:rsid w:val="00311BB7"/>
    <w:rsid w:val="00313220"/>
    <w:rsid w:val="003138CB"/>
    <w:rsid w:val="00315499"/>
    <w:rsid w:val="0031652E"/>
    <w:rsid w:val="003207A5"/>
    <w:rsid w:val="00320F52"/>
    <w:rsid w:val="003222BB"/>
    <w:rsid w:val="0032418E"/>
    <w:rsid w:val="003246F3"/>
    <w:rsid w:val="003308C1"/>
    <w:rsid w:val="00331747"/>
    <w:rsid w:val="00332ABE"/>
    <w:rsid w:val="00333F86"/>
    <w:rsid w:val="003349C6"/>
    <w:rsid w:val="00334D00"/>
    <w:rsid w:val="00334F17"/>
    <w:rsid w:val="00335888"/>
    <w:rsid w:val="00336F8E"/>
    <w:rsid w:val="00340E40"/>
    <w:rsid w:val="00341587"/>
    <w:rsid w:val="00344D25"/>
    <w:rsid w:val="00345B1C"/>
    <w:rsid w:val="00345FA3"/>
    <w:rsid w:val="00345FB9"/>
    <w:rsid w:val="00347223"/>
    <w:rsid w:val="00350A3D"/>
    <w:rsid w:val="00351DF3"/>
    <w:rsid w:val="00352AFB"/>
    <w:rsid w:val="0035479F"/>
    <w:rsid w:val="00355C21"/>
    <w:rsid w:val="0035649E"/>
    <w:rsid w:val="003575CF"/>
    <w:rsid w:val="00357892"/>
    <w:rsid w:val="00357A27"/>
    <w:rsid w:val="00361115"/>
    <w:rsid w:val="00362621"/>
    <w:rsid w:val="003708E8"/>
    <w:rsid w:val="00371993"/>
    <w:rsid w:val="003724B9"/>
    <w:rsid w:val="00375713"/>
    <w:rsid w:val="00375FA0"/>
    <w:rsid w:val="00377364"/>
    <w:rsid w:val="00377A6C"/>
    <w:rsid w:val="003819CA"/>
    <w:rsid w:val="0038220F"/>
    <w:rsid w:val="003824FF"/>
    <w:rsid w:val="003834F3"/>
    <w:rsid w:val="00386323"/>
    <w:rsid w:val="00386631"/>
    <w:rsid w:val="00386CE1"/>
    <w:rsid w:val="003875AB"/>
    <w:rsid w:val="003900F7"/>
    <w:rsid w:val="003925D7"/>
    <w:rsid w:val="00392ADB"/>
    <w:rsid w:val="0039357D"/>
    <w:rsid w:val="003937E7"/>
    <w:rsid w:val="00395077"/>
    <w:rsid w:val="00396DF1"/>
    <w:rsid w:val="003A050C"/>
    <w:rsid w:val="003A07DB"/>
    <w:rsid w:val="003A12F7"/>
    <w:rsid w:val="003A2860"/>
    <w:rsid w:val="003A6A97"/>
    <w:rsid w:val="003B5185"/>
    <w:rsid w:val="003B5F84"/>
    <w:rsid w:val="003B7115"/>
    <w:rsid w:val="003C01FB"/>
    <w:rsid w:val="003C089F"/>
    <w:rsid w:val="003C3129"/>
    <w:rsid w:val="003C3974"/>
    <w:rsid w:val="003C61EA"/>
    <w:rsid w:val="003D4EBC"/>
    <w:rsid w:val="003D709B"/>
    <w:rsid w:val="003D7815"/>
    <w:rsid w:val="003E10E4"/>
    <w:rsid w:val="003E148E"/>
    <w:rsid w:val="003E1F8D"/>
    <w:rsid w:val="003E238E"/>
    <w:rsid w:val="003E29EB"/>
    <w:rsid w:val="003E314F"/>
    <w:rsid w:val="003E320B"/>
    <w:rsid w:val="003E4473"/>
    <w:rsid w:val="003E7473"/>
    <w:rsid w:val="003F03FC"/>
    <w:rsid w:val="003F15EC"/>
    <w:rsid w:val="003F18BD"/>
    <w:rsid w:val="003F4512"/>
    <w:rsid w:val="003F51FA"/>
    <w:rsid w:val="00405EA6"/>
    <w:rsid w:val="0040779E"/>
    <w:rsid w:val="00411158"/>
    <w:rsid w:val="00411E73"/>
    <w:rsid w:val="004120E2"/>
    <w:rsid w:val="00412B2A"/>
    <w:rsid w:val="00412E32"/>
    <w:rsid w:val="00414062"/>
    <w:rsid w:val="004146C2"/>
    <w:rsid w:val="00414890"/>
    <w:rsid w:val="004166DD"/>
    <w:rsid w:val="00416850"/>
    <w:rsid w:val="00420516"/>
    <w:rsid w:val="004229F2"/>
    <w:rsid w:val="00422C25"/>
    <w:rsid w:val="00426B80"/>
    <w:rsid w:val="00426C45"/>
    <w:rsid w:val="00430A6E"/>
    <w:rsid w:val="004313B8"/>
    <w:rsid w:val="004335A0"/>
    <w:rsid w:val="00433CAF"/>
    <w:rsid w:val="00434735"/>
    <w:rsid w:val="004372E2"/>
    <w:rsid w:val="00437524"/>
    <w:rsid w:val="0044328C"/>
    <w:rsid w:val="00445CA1"/>
    <w:rsid w:val="00445ED5"/>
    <w:rsid w:val="00452FA8"/>
    <w:rsid w:val="004562BE"/>
    <w:rsid w:val="0045637D"/>
    <w:rsid w:val="004563F1"/>
    <w:rsid w:val="00456FA4"/>
    <w:rsid w:val="00462A06"/>
    <w:rsid w:val="00470369"/>
    <w:rsid w:val="00477679"/>
    <w:rsid w:val="004809FE"/>
    <w:rsid w:val="00481E60"/>
    <w:rsid w:val="00482A47"/>
    <w:rsid w:val="004910F9"/>
    <w:rsid w:val="00491C66"/>
    <w:rsid w:val="0049385A"/>
    <w:rsid w:val="00494893"/>
    <w:rsid w:val="00494F00"/>
    <w:rsid w:val="00495522"/>
    <w:rsid w:val="004972FA"/>
    <w:rsid w:val="0049764D"/>
    <w:rsid w:val="00497803"/>
    <w:rsid w:val="00497FEF"/>
    <w:rsid w:val="004A5213"/>
    <w:rsid w:val="004A7590"/>
    <w:rsid w:val="004A79DB"/>
    <w:rsid w:val="004B1C9C"/>
    <w:rsid w:val="004B4A54"/>
    <w:rsid w:val="004B588D"/>
    <w:rsid w:val="004B6524"/>
    <w:rsid w:val="004B66E7"/>
    <w:rsid w:val="004B6F75"/>
    <w:rsid w:val="004B7CE7"/>
    <w:rsid w:val="004C106F"/>
    <w:rsid w:val="004C1FB3"/>
    <w:rsid w:val="004C77B0"/>
    <w:rsid w:val="004D1427"/>
    <w:rsid w:val="004D694A"/>
    <w:rsid w:val="004E3E76"/>
    <w:rsid w:val="004E4A86"/>
    <w:rsid w:val="004E6B7D"/>
    <w:rsid w:val="004E72B7"/>
    <w:rsid w:val="004E7C3E"/>
    <w:rsid w:val="004F1BF4"/>
    <w:rsid w:val="004F3088"/>
    <w:rsid w:val="004F3459"/>
    <w:rsid w:val="004F3791"/>
    <w:rsid w:val="004F49E3"/>
    <w:rsid w:val="004F5E3B"/>
    <w:rsid w:val="004F6A24"/>
    <w:rsid w:val="0050498C"/>
    <w:rsid w:val="00511709"/>
    <w:rsid w:val="00511D0E"/>
    <w:rsid w:val="0052041C"/>
    <w:rsid w:val="005207E3"/>
    <w:rsid w:val="00521029"/>
    <w:rsid w:val="005215B8"/>
    <w:rsid w:val="00523AA1"/>
    <w:rsid w:val="005250F5"/>
    <w:rsid w:val="005260EE"/>
    <w:rsid w:val="005262E8"/>
    <w:rsid w:val="005265AA"/>
    <w:rsid w:val="0052737E"/>
    <w:rsid w:val="00531159"/>
    <w:rsid w:val="005327AA"/>
    <w:rsid w:val="005327CF"/>
    <w:rsid w:val="00533705"/>
    <w:rsid w:val="0053767F"/>
    <w:rsid w:val="0054124B"/>
    <w:rsid w:val="00542A83"/>
    <w:rsid w:val="005466C8"/>
    <w:rsid w:val="005501C0"/>
    <w:rsid w:val="00550553"/>
    <w:rsid w:val="00550F4D"/>
    <w:rsid w:val="005513E1"/>
    <w:rsid w:val="00554A47"/>
    <w:rsid w:val="00555536"/>
    <w:rsid w:val="00560878"/>
    <w:rsid w:val="00560B3C"/>
    <w:rsid w:val="00562E5D"/>
    <w:rsid w:val="00564194"/>
    <w:rsid w:val="00564E44"/>
    <w:rsid w:val="00565005"/>
    <w:rsid w:val="00566B9B"/>
    <w:rsid w:val="00566E99"/>
    <w:rsid w:val="005676E1"/>
    <w:rsid w:val="005703E4"/>
    <w:rsid w:val="005713AF"/>
    <w:rsid w:val="00571F06"/>
    <w:rsid w:val="00573DDA"/>
    <w:rsid w:val="00575002"/>
    <w:rsid w:val="00580E23"/>
    <w:rsid w:val="00580E89"/>
    <w:rsid w:val="005815FF"/>
    <w:rsid w:val="00582D4A"/>
    <w:rsid w:val="00584911"/>
    <w:rsid w:val="00585C88"/>
    <w:rsid w:val="00586A08"/>
    <w:rsid w:val="00586A96"/>
    <w:rsid w:val="00586B78"/>
    <w:rsid w:val="0058762D"/>
    <w:rsid w:val="00592095"/>
    <w:rsid w:val="00596682"/>
    <w:rsid w:val="00597839"/>
    <w:rsid w:val="005A0049"/>
    <w:rsid w:val="005A15EC"/>
    <w:rsid w:val="005A31C2"/>
    <w:rsid w:val="005A54A6"/>
    <w:rsid w:val="005A650E"/>
    <w:rsid w:val="005A77B7"/>
    <w:rsid w:val="005B0870"/>
    <w:rsid w:val="005B0FB3"/>
    <w:rsid w:val="005B2F9A"/>
    <w:rsid w:val="005B3600"/>
    <w:rsid w:val="005B57C0"/>
    <w:rsid w:val="005B5EE2"/>
    <w:rsid w:val="005B5F27"/>
    <w:rsid w:val="005C0817"/>
    <w:rsid w:val="005C179F"/>
    <w:rsid w:val="005C23BE"/>
    <w:rsid w:val="005C4744"/>
    <w:rsid w:val="005C4823"/>
    <w:rsid w:val="005C5D62"/>
    <w:rsid w:val="005C6DC0"/>
    <w:rsid w:val="005C77CD"/>
    <w:rsid w:val="005D1183"/>
    <w:rsid w:val="005D1EE4"/>
    <w:rsid w:val="005D1FC4"/>
    <w:rsid w:val="005D558D"/>
    <w:rsid w:val="005E221D"/>
    <w:rsid w:val="005E2AB3"/>
    <w:rsid w:val="005E32FB"/>
    <w:rsid w:val="005E5E2C"/>
    <w:rsid w:val="005E7545"/>
    <w:rsid w:val="005F11AB"/>
    <w:rsid w:val="005F296B"/>
    <w:rsid w:val="005F3112"/>
    <w:rsid w:val="005F3623"/>
    <w:rsid w:val="005F63F4"/>
    <w:rsid w:val="005F7F27"/>
    <w:rsid w:val="00602BCC"/>
    <w:rsid w:val="00605C10"/>
    <w:rsid w:val="0060766F"/>
    <w:rsid w:val="0061076A"/>
    <w:rsid w:val="00610987"/>
    <w:rsid w:val="00610D23"/>
    <w:rsid w:val="00611C7D"/>
    <w:rsid w:val="00614695"/>
    <w:rsid w:val="00615890"/>
    <w:rsid w:val="00615BC1"/>
    <w:rsid w:val="00615E36"/>
    <w:rsid w:val="00617CD3"/>
    <w:rsid w:val="00621C9C"/>
    <w:rsid w:val="00626668"/>
    <w:rsid w:val="0063107B"/>
    <w:rsid w:val="006318D5"/>
    <w:rsid w:val="006348F8"/>
    <w:rsid w:val="00636EA2"/>
    <w:rsid w:val="0063769E"/>
    <w:rsid w:val="006409F3"/>
    <w:rsid w:val="00641318"/>
    <w:rsid w:val="006413AB"/>
    <w:rsid w:val="00643402"/>
    <w:rsid w:val="00644ACE"/>
    <w:rsid w:val="00645693"/>
    <w:rsid w:val="00646E1F"/>
    <w:rsid w:val="0065267B"/>
    <w:rsid w:val="00653F96"/>
    <w:rsid w:val="00655191"/>
    <w:rsid w:val="006569E0"/>
    <w:rsid w:val="006571AF"/>
    <w:rsid w:val="0065722C"/>
    <w:rsid w:val="006577A7"/>
    <w:rsid w:val="00657B81"/>
    <w:rsid w:val="00657C99"/>
    <w:rsid w:val="00657DC6"/>
    <w:rsid w:val="00660F95"/>
    <w:rsid w:val="006622FA"/>
    <w:rsid w:val="00663ED5"/>
    <w:rsid w:val="00663F35"/>
    <w:rsid w:val="006649D6"/>
    <w:rsid w:val="0066751A"/>
    <w:rsid w:val="0067007F"/>
    <w:rsid w:val="00671033"/>
    <w:rsid w:val="00673AB8"/>
    <w:rsid w:val="00675655"/>
    <w:rsid w:val="006763CD"/>
    <w:rsid w:val="006779B2"/>
    <w:rsid w:val="00677BC5"/>
    <w:rsid w:val="0068131D"/>
    <w:rsid w:val="00682C64"/>
    <w:rsid w:val="0068586B"/>
    <w:rsid w:val="00690252"/>
    <w:rsid w:val="00692E14"/>
    <w:rsid w:val="00697657"/>
    <w:rsid w:val="006A0386"/>
    <w:rsid w:val="006A2538"/>
    <w:rsid w:val="006A59F9"/>
    <w:rsid w:val="006A622C"/>
    <w:rsid w:val="006A6508"/>
    <w:rsid w:val="006A717C"/>
    <w:rsid w:val="006A77D7"/>
    <w:rsid w:val="006B402F"/>
    <w:rsid w:val="006B4605"/>
    <w:rsid w:val="006B5754"/>
    <w:rsid w:val="006B61C2"/>
    <w:rsid w:val="006C0FFD"/>
    <w:rsid w:val="006C2C6B"/>
    <w:rsid w:val="006C4245"/>
    <w:rsid w:val="006C5E4C"/>
    <w:rsid w:val="006C746B"/>
    <w:rsid w:val="006D08F9"/>
    <w:rsid w:val="006D14EE"/>
    <w:rsid w:val="006D1A0B"/>
    <w:rsid w:val="006D3539"/>
    <w:rsid w:val="006D4E73"/>
    <w:rsid w:val="006E0837"/>
    <w:rsid w:val="006E3083"/>
    <w:rsid w:val="006E3716"/>
    <w:rsid w:val="006F2CF9"/>
    <w:rsid w:val="006F681F"/>
    <w:rsid w:val="00700A14"/>
    <w:rsid w:val="007012B8"/>
    <w:rsid w:val="00701449"/>
    <w:rsid w:val="007034BC"/>
    <w:rsid w:val="00703BA5"/>
    <w:rsid w:val="0070552C"/>
    <w:rsid w:val="007076D4"/>
    <w:rsid w:val="00707BE0"/>
    <w:rsid w:val="00711747"/>
    <w:rsid w:val="007136AC"/>
    <w:rsid w:val="0071511A"/>
    <w:rsid w:val="007159CD"/>
    <w:rsid w:val="00721A27"/>
    <w:rsid w:val="00722C4C"/>
    <w:rsid w:val="00722DBD"/>
    <w:rsid w:val="007230DC"/>
    <w:rsid w:val="00725C42"/>
    <w:rsid w:val="007270DC"/>
    <w:rsid w:val="007273BF"/>
    <w:rsid w:val="00732868"/>
    <w:rsid w:val="00732E1B"/>
    <w:rsid w:val="00733283"/>
    <w:rsid w:val="00741909"/>
    <w:rsid w:val="007433F2"/>
    <w:rsid w:val="007447DA"/>
    <w:rsid w:val="00755D4F"/>
    <w:rsid w:val="00757040"/>
    <w:rsid w:val="00757F3E"/>
    <w:rsid w:val="00762621"/>
    <w:rsid w:val="00762B88"/>
    <w:rsid w:val="007642BD"/>
    <w:rsid w:val="00764B15"/>
    <w:rsid w:val="007668CC"/>
    <w:rsid w:val="00780CB1"/>
    <w:rsid w:val="00782712"/>
    <w:rsid w:val="0078392B"/>
    <w:rsid w:val="007841DD"/>
    <w:rsid w:val="00784A8B"/>
    <w:rsid w:val="007862AD"/>
    <w:rsid w:val="007865BB"/>
    <w:rsid w:val="00791FA2"/>
    <w:rsid w:val="00793B2F"/>
    <w:rsid w:val="00794444"/>
    <w:rsid w:val="007944A9"/>
    <w:rsid w:val="007954AE"/>
    <w:rsid w:val="00795D0D"/>
    <w:rsid w:val="00795F31"/>
    <w:rsid w:val="007A05C2"/>
    <w:rsid w:val="007A11CE"/>
    <w:rsid w:val="007A14A9"/>
    <w:rsid w:val="007A45B7"/>
    <w:rsid w:val="007A5E02"/>
    <w:rsid w:val="007A7AE8"/>
    <w:rsid w:val="007B052D"/>
    <w:rsid w:val="007B1449"/>
    <w:rsid w:val="007B2BFE"/>
    <w:rsid w:val="007B3A82"/>
    <w:rsid w:val="007B4729"/>
    <w:rsid w:val="007B4EE9"/>
    <w:rsid w:val="007B6F95"/>
    <w:rsid w:val="007B73CB"/>
    <w:rsid w:val="007B77D6"/>
    <w:rsid w:val="007B7A71"/>
    <w:rsid w:val="007C08A5"/>
    <w:rsid w:val="007C0E3F"/>
    <w:rsid w:val="007C1600"/>
    <w:rsid w:val="007C172F"/>
    <w:rsid w:val="007C215D"/>
    <w:rsid w:val="007C34FF"/>
    <w:rsid w:val="007C362D"/>
    <w:rsid w:val="007C3FFD"/>
    <w:rsid w:val="007C7A65"/>
    <w:rsid w:val="007D1A03"/>
    <w:rsid w:val="007D2983"/>
    <w:rsid w:val="007D5D7E"/>
    <w:rsid w:val="007E3B5D"/>
    <w:rsid w:val="007E5738"/>
    <w:rsid w:val="007E580D"/>
    <w:rsid w:val="007E6EAD"/>
    <w:rsid w:val="007F19F5"/>
    <w:rsid w:val="007F5C99"/>
    <w:rsid w:val="007F6ED1"/>
    <w:rsid w:val="00802017"/>
    <w:rsid w:val="0080302E"/>
    <w:rsid w:val="0081093A"/>
    <w:rsid w:val="00811DB8"/>
    <w:rsid w:val="00814DFC"/>
    <w:rsid w:val="00816094"/>
    <w:rsid w:val="00817723"/>
    <w:rsid w:val="00820E00"/>
    <w:rsid w:val="0082192D"/>
    <w:rsid w:val="00822DC8"/>
    <w:rsid w:val="0082303C"/>
    <w:rsid w:val="00824858"/>
    <w:rsid w:val="00825927"/>
    <w:rsid w:val="00825F6F"/>
    <w:rsid w:val="00827FC8"/>
    <w:rsid w:val="00831A48"/>
    <w:rsid w:val="00833A36"/>
    <w:rsid w:val="00834397"/>
    <w:rsid w:val="00835C18"/>
    <w:rsid w:val="00843753"/>
    <w:rsid w:val="00844503"/>
    <w:rsid w:val="00846A19"/>
    <w:rsid w:val="00850606"/>
    <w:rsid w:val="008519E6"/>
    <w:rsid w:val="00852E0A"/>
    <w:rsid w:val="00852E73"/>
    <w:rsid w:val="008539B2"/>
    <w:rsid w:val="00855D16"/>
    <w:rsid w:val="00856039"/>
    <w:rsid w:val="008565AB"/>
    <w:rsid w:val="008613FC"/>
    <w:rsid w:val="008619EF"/>
    <w:rsid w:val="00864FAF"/>
    <w:rsid w:val="00870552"/>
    <w:rsid w:val="00871B93"/>
    <w:rsid w:val="00872489"/>
    <w:rsid w:val="00872B2D"/>
    <w:rsid w:val="00872EA8"/>
    <w:rsid w:val="00876B6C"/>
    <w:rsid w:val="008772C7"/>
    <w:rsid w:val="00877618"/>
    <w:rsid w:val="00890EC1"/>
    <w:rsid w:val="00893233"/>
    <w:rsid w:val="008A16F7"/>
    <w:rsid w:val="008A1D94"/>
    <w:rsid w:val="008A362B"/>
    <w:rsid w:val="008A3827"/>
    <w:rsid w:val="008B1A67"/>
    <w:rsid w:val="008B234A"/>
    <w:rsid w:val="008B39BF"/>
    <w:rsid w:val="008B3A4F"/>
    <w:rsid w:val="008B4023"/>
    <w:rsid w:val="008B47AD"/>
    <w:rsid w:val="008C3490"/>
    <w:rsid w:val="008C63D9"/>
    <w:rsid w:val="008C70D3"/>
    <w:rsid w:val="008D2390"/>
    <w:rsid w:val="008E1E0C"/>
    <w:rsid w:val="008E35DF"/>
    <w:rsid w:val="008E541E"/>
    <w:rsid w:val="008E733F"/>
    <w:rsid w:val="008E7980"/>
    <w:rsid w:val="008F0D48"/>
    <w:rsid w:val="008F406B"/>
    <w:rsid w:val="008F4ADD"/>
    <w:rsid w:val="008F4E95"/>
    <w:rsid w:val="008F51D1"/>
    <w:rsid w:val="008F7C74"/>
    <w:rsid w:val="008F7FE9"/>
    <w:rsid w:val="009010B1"/>
    <w:rsid w:val="009028C8"/>
    <w:rsid w:val="00906161"/>
    <w:rsid w:val="00913332"/>
    <w:rsid w:val="009156F5"/>
    <w:rsid w:val="00915EA7"/>
    <w:rsid w:val="00916FE0"/>
    <w:rsid w:val="00917B85"/>
    <w:rsid w:val="00920372"/>
    <w:rsid w:val="0092147F"/>
    <w:rsid w:val="00926DBD"/>
    <w:rsid w:val="00927803"/>
    <w:rsid w:val="00927EFD"/>
    <w:rsid w:val="00930AC0"/>
    <w:rsid w:val="009313BA"/>
    <w:rsid w:val="0093480C"/>
    <w:rsid w:val="00936750"/>
    <w:rsid w:val="009378C2"/>
    <w:rsid w:val="00937A70"/>
    <w:rsid w:val="009416FD"/>
    <w:rsid w:val="00941BFF"/>
    <w:rsid w:val="00942DFF"/>
    <w:rsid w:val="009448BD"/>
    <w:rsid w:val="00944FF2"/>
    <w:rsid w:val="00950555"/>
    <w:rsid w:val="00951B4C"/>
    <w:rsid w:val="00951BC1"/>
    <w:rsid w:val="00951D92"/>
    <w:rsid w:val="00952733"/>
    <w:rsid w:val="00952825"/>
    <w:rsid w:val="009556B1"/>
    <w:rsid w:val="0095641C"/>
    <w:rsid w:val="00961132"/>
    <w:rsid w:val="009619CD"/>
    <w:rsid w:val="00961C2E"/>
    <w:rsid w:val="00961F96"/>
    <w:rsid w:val="00963012"/>
    <w:rsid w:val="00963A6D"/>
    <w:rsid w:val="00964770"/>
    <w:rsid w:val="00967CB7"/>
    <w:rsid w:val="00973004"/>
    <w:rsid w:val="0097527A"/>
    <w:rsid w:val="009753F2"/>
    <w:rsid w:val="00980F5A"/>
    <w:rsid w:val="0098288A"/>
    <w:rsid w:val="00982F6B"/>
    <w:rsid w:val="00983474"/>
    <w:rsid w:val="00983FF9"/>
    <w:rsid w:val="009844D4"/>
    <w:rsid w:val="00984A30"/>
    <w:rsid w:val="00984B73"/>
    <w:rsid w:val="00986B29"/>
    <w:rsid w:val="0099186C"/>
    <w:rsid w:val="009920B8"/>
    <w:rsid w:val="00992733"/>
    <w:rsid w:val="00992F98"/>
    <w:rsid w:val="00997D7B"/>
    <w:rsid w:val="009A02E4"/>
    <w:rsid w:val="009A0851"/>
    <w:rsid w:val="009A608C"/>
    <w:rsid w:val="009A7019"/>
    <w:rsid w:val="009A7763"/>
    <w:rsid w:val="009B04D4"/>
    <w:rsid w:val="009B1A8A"/>
    <w:rsid w:val="009B319D"/>
    <w:rsid w:val="009B31A8"/>
    <w:rsid w:val="009B3846"/>
    <w:rsid w:val="009B786F"/>
    <w:rsid w:val="009B7E85"/>
    <w:rsid w:val="009B7FA6"/>
    <w:rsid w:val="009C1438"/>
    <w:rsid w:val="009C294F"/>
    <w:rsid w:val="009C37AE"/>
    <w:rsid w:val="009C4D85"/>
    <w:rsid w:val="009C5EA2"/>
    <w:rsid w:val="009D022B"/>
    <w:rsid w:val="009D1133"/>
    <w:rsid w:val="009D16F5"/>
    <w:rsid w:val="009D3E54"/>
    <w:rsid w:val="009D5583"/>
    <w:rsid w:val="009D5D55"/>
    <w:rsid w:val="009D7083"/>
    <w:rsid w:val="009E0B08"/>
    <w:rsid w:val="009E0BCB"/>
    <w:rsid w:val="009E23B4"/>
    <w:rsid w:val="009E2775"/>
    <w:rsid w:val="009E2B67"/>
    <w:rsid w:val="009E2B8F"/>
    <w:rsid w:val="009E31AF"/>
    <w:rsid w:val="009F7619"/>
    <w:rsid w:val="009F7CC6"/>
    <w:rsid w:val="00A01C9E"/>
    <w:rsid w:val="00A03D71"/>
    <w:rsid w:val="00A04C1B"/>
    <w:rsid w:val="00A05EAF"/>
    <w:rsid w:val="00A0657D"/>
    <w:rsid w:val="00A07A01"/>
    <w:rsid w:val="00A07C06"/>
    <w:rsid w:val="00A1141E"/>
    <w:rsid w:val="00A12239"/>
    <w:rsid w:val="00A13494"/>
    <w:rsid w:val="00A152EB"/>
    <w:rsid w:val="00A211B1"/>
    <w:rsid w:val="00A22965"/>
    <w:rsid w:val="00A231DF"/>
    <w:rsid w:val="00A25237"/>
    <w:rsid w:val="00A27DA6"/>
    <w:rsid w:val="00A3120C"/>
    <w:rsid w:val="00A33AE1"/>
    <w:rsid w:val="00A33AEE"/>
    <w:rsid w:val="00A37FCB"/>
    <w:rsid w:val="00A419A9"/>
    <w:rsid w:val="00A43034"/>
    <w:rsid w:val="00A43F19"/>
    <w:rsid w:val="00A44AB6"/>
    <w:rsid w:val="00A459B3"/>
    <w:rsid w:val="00A51ED7"/>
    <w:rsid w:val="00A5453F"/>
    <w:rsid w:val="00A55C64"/>
    <w:rsid w:val="00A56AE8"/>
    <w:rsid w:val="00A60349"/>
    <w:rsid w:val="00A62F9D"/>
    <w:rsid w:val="00A654B6"/>
    <w:rsid w:val="00A65A6B"/>
    <w:rsid w:val="00A66503"/>
    <w:rsid w:val="00A7180A"/>
    <w:rsid w:val="00A7189F"/>
    <w:rsid w:val="00A76110"/>
    <w:rsid w:val="00A7630B"/>
    <w:rsid w:val="00A76402"/>
    <w:rsid w:val="00A8181D"/>
    <w:rsid w:val="00A81FD1"/>
    <w:rsid w:val="00A84A7D"/>
    <w:rsid w:val="00A86CAD"/>
    <w:rsid w:val="00A9072C"/>
    <w:rsid w:val="00A90D5D"/>
    <w:rsid w:val="00A916BF"/>
    <w:rsid w:val="00A93236"/>
    <w:rsid w:val="00A93B16"/>
    <w:rsid w:val="00A951F3"/>
    <w:rsid w:val="00A95D67"/>
    <w:rsid w:val="00A969AC"/>
    <w:rsid w:val="00AA033D"/>
    <w:rsid w:val="00AA1A26"/>
    <w:rsid w:val="00AA20AB"/>
    <w:rsid w:val="00AA2235"/>
    <w:rsid w:val="00AA34D0"/>
    <w:rsid w:val="00AA4FBE"/>
    <w:rsid w:val="00AB13FF"/>
    <w:rsid w:val="00AB2350"/>
    <w:rsid w:val="00AB30B4"/>
    <w:rsid w:val="00AB3319"/>
    <w:rsid w:val="00AB75F3"/>
    <w:rsid w:val="00AC3A93"/>
    <w:rsid w:val="00AC5021"/>
    <w:rsid w:val="00AC74FD"/>
    <w:rsid w:val="00AC794F"/>
    <w:rsid w:val="00AD0529"/>
    <w:rsid w:val="00AD240B"/>
    <w:rsid w:val="00AD476A"/>
    <w:rsid w:val="00AD5414"/>
    <w:rsid w:val="00AD5917"/>
    <w:rsid w:val="00AD6359"/>
    <w:rsid w:val="00AD656D"/>
    <w:rsid w:val="00AE1A29"/>
    <w:rsid w:val="00AE5358"/>
    <w:rsid w:val="00AE6B2E"/>
    <w:rsid w:val="00AF120A"/>
    <w:rsid w:val="00AF20B5"/>
    <w:rsid w:val="00AF33C0"/>
    <w:rsid w:val="00AF35F0"/>
    <w:rsid w:val="00AF4B0D"/>
    <w:rsid w:val="00AF4DB6"/>
    <w:rsid w:val="00AF5E3F"/>
    <w:rsid w:val="00B0063C"/>
    <w:rsid w:val="00B014C7"/>
    <w:rsid w:val="00B0206B"/>
    <w:rsid w:val="00B042C8"/>
    <w:rsid w:val="00B04C89"/>
    <w:rsid w:val="00B06699"/>
    <w:rsid w:val="00B1197C"/>
    <w:rsid w:val="00B121FA"/>
    <w:rsid w:val="00B1407C"/>
    <w:rsid w:val="00B14A5B"/>
    <w:rsid w:val="00B16927"/>
    <w:rsid w:val="00B16D31"/>
    <w:rsid w:val="00B201A1"/>
    <w:rsid w:val="00B20594"/>
    <w:rsid w:val="00B2099C"/>
    <w:rsid w:val="00B215DC"/>
    <w:rsid w:val="00B22AF5"/>
    <w:rsid w:val="00B24732"/>
    <w:rsid w:val="00B260DD"/>
    <w:rsid w:val="00B26D13"/>
    <w:rsid w:val="00B26DDD"/>
    <w:rsid w:val="00B30601"/>
    <w:rsid w:val="00B3260A"/>
    <w:rsid w:val="00B32A45"/>
    <w:rsid w:val="00B34250"/>
    <w:rsid w:val="00B34590"/>
    <w:rsid w:val="00B4205A"/>
    <w:rsid w:val="00B43BBD"/>
    <w:rsid w:val="00B441C0"/>
    <w:rsid w:val="00B4474C"/>
    <w:rsid w:val="00B44F83"/>
    <w:rsid w:val="00B45E56"/>
    <w:rsid w:val="00B464D1"/>
    <w:rsid w:val="00B47099"/>
    <w:rsid w:val="00B51F3A"/>
    <w:rsid w:val="00B55641"/>
    <w:rsid w:val="00B55EE3"/>
    <w:rsid w:val="00B5741C"/>
    <w:rsid w:val="00B603BD"/>
    <w:rsid w:val="00B614D9"/>
    <w:rsid w:val="00B616D2"/>
    <w:rsid w:val="00B636AE"/>
    <w:rsid w:val="00B63C9B"/>
    <w:rsid w:val="00B640C1"/>
    <w:rsid w:val="00B64923"/>
    <w:rsid w:val="00B663CA"/>
    <w:rsid w:val="00B722B1"/>
    <w:rsid w:val="00B7289A"/>
    <w:rsid w:val="00B72998"/>
    <w:rsid w:val="00B72C2B"/>
    <w:rsid w:val="00B72E65"/>
    <w:rsid w:val="00B754B1"/>
    <w:rsid w:val="00B8110B"/>
    <w:rsid w:val="00B81320"/>
    <w:rsid w:val="00B83601"/>
    <w:rsid w:val="00B857DE"/>
    <w:rsid w:val="00B90055"/>
    <w:rsid w:val="00B92346"/>
    <w:rsid w:val="00B92B84"/>
    <w:rsid w:val="00B93C6C"/>
    <w:rsid w:val="00B94DE0"/>
    <w:rsid w:val="00B94EA3"/>
    <w:rsid w:val="00BA313B"/>
    <w:rsid w:val="00BA3745"/>
    <w:rsid w:val="00BA3999"/>
    <w:rsid w:val="00BA3C88"/>
    <w:rsid w:val="00BA5C14"/>
    <w:rsid w:val="00BA7A41"/>
    <w:rsid w:val="00BB2590"/>
    <w:rsid w:val="00BB71A4"/>
    <w:rsid w:val="00BC3021"/>
    <w:rsid w:val="00BC3AFE"/>
    <w:rsid w:val="00BC425E"/>
    <w:rsid w:val="00BC4F90"/>
    <w:rsid w:val="00BC507F"/>
    <w:rsid w:val="00BC64FB"/>
    <w:rsid w:val="00BC6A8A"/>
    <w:rsid w:val="00BC6E45"/>
    <w:rsid w:val="00BD066D"/>
    <w:rsid w:val="00BD1DE1"/>
    <w:rsid w:val="00BD3D6D"/>
    <w:rsid w:val="00BD419E"/>
    <w:rsid w:val="00BD517A"/>
    <w:rsid w:val="00BE06EA"/>
    <w:rsid w:val="00BE1F93"/>
    <w:rsid w:val="00BE2D66"/>
    <w:rsid w:val="00BE3C31"/>
    <w:rsid w:val="00BE3D57"/>
    <w:rsid w:val="00BE4D80"/>
    <w:rsid w:val="00BE7632"/>
    <w:rsid w:val="00BF07CF"/>
    <w:rsid w:val="00BF190E"/>
    <w:rsid w:val="00BF3193"/>
    <w:rsid w:val="00BF7C02"/>
    <w:rsid w:val="00C002A7"/>
    <w:rsid w:val="00C01E38"/>
    <w:rsid w:val="00C06B66"/>
    <w:rsid w:val="00C07CD3"/>
    <w:rsid w:val="00C130FB"/>
    <w:rsid w:val="00C135C7"/>
    <w:rsid w:val="00C145CB"/>
    <w:rsid w:val="00C211EF"/>
    <w:rsid w:val="00C23AFC"/>
    <w:rsid w:val="00C23EB4"/>
    <w:rsid w:val="00C2437E"/>
    <w:rsid w:val="00C25A00"/>
    <w:rsid w:val="00C26AA9"/>
    <w:rsid w:val="00C316B2"/>
    <w:rsid w:val="00C31E6C"/>
    <w:rsid w:val="00C34A63"/>
    <w:rsid w:val="00C37978"/>
    <w:rsid w:val="00C40B4C"/>
    <w:rsid w:val="00C42A78"/>
    <w:rsid w:val="00C44578"/>
    <w:rsid w:val="00C46CCF"/>
    <w:rsid w:val="00C50655"/>
    <w:rsid w:val="00C509D5"/>
    <w:rsid w:val="00C52B9B"/>
    <w:rsid w:val="00C54DB5"/>
    <w:rsid w:val="00C55AD6"/>
    <w:rsid w:val="00C57A0C"/>
    <w:rsid w:val="00C57BE9"/>
    <w:rsid w:val="00C604DB"/>
    <w:rsid w:val="00C60F6B"/>
    <w:rsid w:val="00C6192B"/>
    <w:rsid w:val="00C620F3"/>
    <w:rsid w:val="00C629B4"/>
    <w:rsid w:val="00C64774"/>
    <w:rsid w:val="00C64AD1"/>
    <w:rsid w:val="00C65081"/>
    <w:rsid w:val="00C67957"/>
    <w:rsid w:val="00C67BB7"/>
    <w:rsid w:val="00C71744"/>
    <w:rsid w:val="00C71D79"/>
    <w:rsid w:val="00C722E0"/>
    <w:rsid w:val="00C80D4B"/>
    <w:rsid w:val="00C850C0"/>
    <w:rsid w:val="00C852E1"/>
    <w:rsid w:val="00C86708"/>
    <w:rsid w:val="00C86883"/>
    <w:rsid w:val="00C8745B"/>
    <w:rsid w:val="00C9082D"/>
    <w:rsid w:val="00C912C4"/>
    <w:rsid w:val="00C91BE9"/>
    <w:rsid w:val="00C91C1E"/>
    <w:rsid w:val="00C936D8"/>
    <w:rsid w:val="00C9679F"/>
    <w:rsid w:val="00C97862"/>
    <w:rsid w:val="00CA2DD8"/>
    <w:rsid w:val="00CA59CB"/>
    <w:rsid w:val="00CA79BF"/>
    <w:rsid w:val="00CB14EB"/>
    <w:rsid w:val="00CB1B15"/>
    <w:rsid w:val="00CB3D0E"/>
    <w:rsid w:val="00CB4143"/>
    <w:rsid w:val="00CB5F54"/>
    <w:rsid w:val="00CB7473"/>
    <w:rsid w:val="00CC1E21"/>
    <w:rsid w:val="00CC4BD9"/>
    <w:rsid w:val="00CC563E"/>
    <w:rsid w:val="00CC66AB"/>
    <w:rsid w:val="00CC7F4A"/>
    <w:rsid w:val="00CD4449"/>
    <w:rsid w:val="00CD5C96"/>
    <w:rsid w:val="00CD635C"/>
    <w:rsid w:val="00CE0133"/>
    <w:rsid w:val="00CE0526"/>
    <w:rsid w:val="00CE07FF"/>
    <w:rsid w:val="00CE0FFC"/>
    <w:rsid w:val="00CE1633"/>
    <w:rsid w:val="00CE2E56"/>
    <w:rsid w:val="00CE41B0"/>
    <w:rsid w:val="00CE730E"/>
    <w:rsid w:val="00CE7666"/>
    <w:rsid w:val="00D01786"/>
    <w:rsid w:val="00D0208C"/>
    <w:rsid w:val="00D0226C"/>
    <w:rsid w:val="00D03397"/>
    <w:rsid w:val="00D06674"/>
    <w:rsid w:val="00D06F37"/>
    <w:rsid w:val="00D103DF"/>
    <w:rsid w:val="00D10ADD"/>
    <w:rsid w:val="00D1106A"/>
    <w:rsid w:val="00D112B4"/>
    <w:rsid w:val="00D12F03"/>
    <w:rsid w:val="00D14CD6"/>
    <w:rsid w:val="00D14EED"/>
    <w:rsid w:val="00D15A7C"/>
    <w:rsid w:val="00D217CF"/>
    <w:rsid w:val="00D22D24"/>
    <w:rsid w:val="00D22FCA"/>
    <w:rsid w:val="00D24D05"/>
    <w:rsid w:val="00D26AA6"/>
    <w:rsid w:val="00D33A81"/>
    <w:rsid w:val="00D3467E"/>
    <w:rsid w:val="00D40CF9"/>
    <w:rsid w:val="00D410AD"/>
    <w:rsid w:val="00D422CF"/>
    <w:rsid w:val="00D434AA"/>
    <w:rsid w:val="00D43FF2"/>
    <w:rsid w:val="00D44BB9"/>
    <w:rsid w:val="00D459E0"/>
    <w:rsid w:val="00D47D7D"/>
    <w:rsid w:val="00D51AF5"/>
    <w:rsid w:val="00D51C79"/>
    <w:rsid w:val="00D51FA1"/>
    <w:rsid w:val="00D604C3"/>
    <w:rsid w:val="00D623C9"/>
    <w:rsid w:val="00D63EB9"/>
    <w:rsid w:val="00D64F9F"/>
    <w:rsid w:val="00D6606F"/>
    <w:rsid w:val="00D66AC7"/>
    <w:rsid w:val="00D670F4"/>
    <w:rsid w:val="00D67432"/>
    <w:rsid w:val="00D67767"/>
    <w:rsid w:val="00D677B8"/>
    <w:rsid w:val="00D7642D"/>
    <w:rsid w:val="00D7692D"/>
    <w:rsid w:val="00D81EF2"/>
    <w:rsid w:val="00D836EA"/>
    <w:rsid w:val="00D858BC"/>
    <w:rsid w:val="00D8676D"/>
    <w:rsid w:val="00D8795B"/>
    <w:rsid w:val="00D87E9A"/>
    <w:rsid w:val="00D92F5B"/>
    <w:rsid w:val="00D93A46"/>
    <w:rsid w:val="00D93BC3"/>
    <w:rsid w:val="00D93D9E"/>
    <w:rsid w:val="00D97225"/>
    <w:rsid w:val="00D97260"/>
    <w:rsid w:val="00D97BEB"/>
    <w:rsid w:val="00D97E78"/>
    <w:rsid w:val="00DA0820"/>
    <w:rsid w:val="00DA283E"/>
    <w:rsid w:val="00DA4700"/>
    <w:rsid w:val="00DA5C5C"/>
    <w:rsid w:val="00DB0F59"/>
    <w:rsid w:val="00DB1947"/>
    <w:rsid w:val="00DB264A"/>
    <w:rsid w:val="00DB2D18"/>
    <w:rsid w:val="00DB3B40"/>
    <w:rsid w:val="00DB3BC4"/>
    <w:rsid w:val="00DB4044"/>
    <w:rsid w:val="00DB5B79"/>
    <w:rsid w:val="00DB64C8"/>
    <w:rsid w:val="00DC1EAA"/>
    <w:rsid w:val="00DC216B"/>
    <w:rsid w:val="00DC23AA"/>
    <w:rsid w:val="00DC252B"/>
    <w:rsid w:val="00DC3323"/>
    <w:rsid w:val="00DC5070"/>
    <w:rsid w:val="00DC5AAF"/>
    <w:rsid w:val="00DC5F24"/>
    <w:rsid w:val="00DC7D45"/>
    <w:rsid w:val="00DD0F4A"/>
    <w:rsid w:val="00DD1361"/>
    <w:rsid w:val="00DD1D47"/>
    <w:rsid w:val="00DD2C31"/>
    <w:rsid w:val="00DD2FEA"/>
    <w:rsid w:val="00DD3182"/>
    <w:rsid w:val="00DD5DCD"/>
    <w:rsid w:val="00DE373C"/>
    <w:rsid w:val="00DE3D82"/>
    <w:rsid w:val="00DE4270"/>
    <w:rsid w:val="00DE4B37"/>
    <w:rsid w:val="00DE6354"/>
    <w:rsid w:val="00DE7DCC"/>
    <w:rsid w:val="00DF081A"/>
    <w:rsid w:val="00DF18D3"/>
    <w:rsid w:val="00DF2436"/>
    <w:rsid w:val="00DF3EC7"/>
    <w:rsid w:val="00DF500C"/>
    <w:rsid w:val="00DF6F24"/>
    <w:rsid w:val="00DF76D4"/>
    <w:rsid w:val="00DF7ADE"/>
    <w:rsid w:val="00DF7DBE"/>
    <w:rsid w:val="00E005A3"/>
    <w:rsid w:val="00E02223"/>
    <w:rsid w:val="00E03CA8"/>
    <w:rsid w:val="00E03F1A"/>
    <w:rsid w:val="00E06DBA"/>
    <w:rsid w:val="00E07419"/>
    <w:rsid w:val="00E077DF"/>
    <w:rsid w:val="00E13C52"/>
    <w:rsid w:val="00E13D45"/>
    <w:rsid w:val="00E171D5"/>
    <w:rsid w:val="00E17A5B"/>
    <w:rsid w:val="00E22047"/>
    <w:rsid w:val="00E22331"/>
    <w:rsid w:val="00E24C42"/>
    <w:rsid w:val="00E25456"/>
    <w:rsid w:val="00E25EF9"/>
    <w:rsid w:val="00E2651F"/>
    <w:rsid w:val="00E347AE"/>
    <w:rsid w:val="00E35B5D"/>
    <w:rsid w:val="00E40488"/>
    <w:rsid w:val="00E44FE0"/>
    <w:rsid w:val="00E50D46"/>
    <w:rsid w:val="00E518FF"/>
    <w:rsid w:val="00E53B50"/>
    <w:rsid w:val="00E55EE4"/>
    <w:rsid w:val="00E56A53"/>
    <w:rsid w:val="00E601A6"/>
    <w:rsid w:val="00E602F6"/>
    <w:rsid w:val="00E609BB"/>
    <w:rsid w:val="00E613F3"/>
    <w:rsid w:val="00E62C11"/>
    <w:rsid w:val="00E64186"/>
    <w:rsid w:val="00E6492F"/>
    <w:rsid w:val="00E64CCE"/>
    <w:rsid w:val="00E7173E"/>
    <w:rsid w:val="00E71906"/>
    <w:rsid w:val="00E72253"/>
    <w:rsid w:val="00E74ED7"/>
    <w:rsid w:val="00E75A4E"/>
    <w:rsid w:val="00E762F5"/>
    <w:rsid w:val="00E77D08"/>
    <w:rsid w:val="00E77EF3"/>
    <w:rsid w:val="00E83B9F"/>
    <w:rsid w:val="00E86104"/>
    <w:rsid w:val="00E87F73"/>
    <w:rsid w:val="00E90785"/>
    <w:rsid w:val="00E929DE"/>
    <w:rsid w:val="00E94330"/>
    <w:rsid w:val="00E944D9"/>
    <w:rsid w:val="00E94E40"/>
    <w:rsid w:val="00EA34AC"/>
    <w:rsid w:val="00EA5F9C"/>
    <w:rsid w:val="00EA636B"/>
    <w:rsid w:val="00EA77C8"/>
    <w:rsid w:val="00EB0E70"/>
    <w:rsid w:val="00EB12F3"/>
    <w:rsid w:val="00EB3EA2"/>
    <w:rsid w:val="00EB45EE"/>
    <w:rsid w:val="00EB4F43"/>
    <w:rsid w:val="00EB579A"/>
    <w:rsid w:val="00EB6EBB"/>
    <w:rsid w:val="00EB74DF"/>
    <w:rsid w:val="00EC11B6"/>
    <w:rsid w:val="00EC2F13"/>
    <w:rsid w:val="00ED02CB"/>
    <w:rsid w:val="00ED1403"/>
    <w:rsid w:val="00ED3DB4"/>
    <w:rsid w:val="00EE0051"/>
    <w:rsid w:val="00EE3989"/>
    <w:rsid w:val="00EE5ADD"/>
    <w:rsid w:val="00EE719D"/>
    <w:rsid w:val="00EE7F37"/>
    <w:rsid w:val="00EF0AA4"/>
    <w:rsid w:val="00EF1CDF"/>
    <w:rsid w:val="00EF1E1F"/>
    <w:rsid w:val="00EF20C3"/>
    <w:rsid w:val="00EF33FC"/>
    <w:rsid w:val="00EF4FE6"/>
    <w:rsid w:val="00EF5EEE"/>
    <w:rsid w:val="00F013DD"/>
    <w:rsid w:val="00F01442"/>
    <w:rsid w:val="00F03519"/>
    <w:rsid w:val="00F07067"/>
    <w:rsid w:val="00F0725E"/>
    <w:rsid w:val="00F107D7"/>
    <w:rsid w:val="00F120E3"/>
    <w:rsid w:val="00F1219B"/>
    <w:rsid w:val="00F15778"/>
    <w:rsid w:val="00F15989"/>
    <w:rsid w:val="00F1706F"/>
    <w:rsid w:val="00F208D1"/>
    <w:rsid w:val="00F22831"/>
    <w:rsid w:val="00F334AD"/>
    <w:rsid w:val="00F36D82"/>
    <w:rsid w:val="00F465E9"/>
    <w:rsid w:val="00F50914"/>
    <w:rsid w:val="00F51747"/>
    <w:rsid w:val="00F52FEB"/>
    <w:rsid w:val="00F53184"/>
    <w:rsid w:val="00F53676"/>
    <w:rsid w:val="00F53B1F"/>
    <w:rsid w:val="00F5432D"/>
    <w:rsid w:val="00F545A9"/>
    <w:rsid w:val="00F55107"/>
    <w:rsid w:val="00F561DA"/>
    <w:rsid w:val="00F57659"/>
    <w:rsid w:val="00F5777B"/>
    <w:rsid w:val="00F613DE"/>
    <w:rsid w:val="00F6273F"/>
    <w:rsid w:val="00F62D15"/>
    <w:rsid w:val="00F62F98"/>
    <w:rsid w:val="00F63D7C"/>
    <w:rsid w:val="00F6641F"/>
    <w:rsid w:val="00F724DF"/>
    <w:rsid w:val="00F74A2D"/>
    <w:rsid w:val="00F77B31"/>
    <w:rsid w:val="00F8000A"/>
    <w:rsid w:val="00F80617"/>
    <w:rsid w:val="00F819B7"/>
    <w:rsid w:val="00F83DB5"/>
    <w:rsid w:val="00F85630"/>
    <w:rsid w:val="00F85B35"/>
    <w:rsid w:val="00F85D48"/>
    <w:rsid w:val="00F87848"/>
    <w:rsid w:val="00F901C7"/>
    <w:rsid w:val="00F91168"/>
    <w:rsid w:val="00F91193"/>
    <w:rsid w:val="00F9240D"/>
    <w:rsid w:val="00F93136"/>
    <w:rsid w:val="00F9540F"/>
    <w:rsid w:val="00F95D7C"/>
    <w:rsid w:val="00F96137"/>
    <w:rsid w:val="00FA0964"/>
    <w:rsid w:val="00FA2AE8"/>
    <w:rsid w:val="00FA2C7E"/>
    <w:rsid w:val="00FA4434"/>
    <w:rsid w:val="00FA44E3"/>
    <w:rsid w:val="00FA463C"/>
    <w:rsid w:val="00FA5B67"/>
    <w:rsid w:val="00FB058C"/>
    <w:rsid w:val="00FB2069"/>
    <w:rsid w:val="00FB348A"/>
    <w:rsid w:val="00FB4005"/>
    <w:rsid w:val="00FB40AE"/>
    <w:rsid w:val="00FB4BF6"/>
    <w:rsid w:val="00FB6BC2"/>
    <w:rsid w:val="00FC037D"/>
    <w:rsid w:val="00FC0BB3"/>
    <w:rsid w:val="00FC3B5F"/>
    <w:rsid w:val="00FC417E"/>
    <w:rsid w:val="00FC7C3B"/>
    <w:rsid w:val="00FD246A"/>
    <w:rsid w:val="00FD45F5"/>
    <w:rsid w:val="00FD793C"/>
    <w:rsid w:val="00FE0772"/>
    <w:rsid w:val="00FE6B28"/>
    <w:rsid w:val="00FE717F"/>
    <w:rsid w:val="00FF01F9"/>
    <w:rsid w:val="00FF02CE"/>
    <w:rsid w:val="00FF0BB1"/>
    <w:rsid w:val="00FF3338"/>
    <w:rsid w:val="00FF51FE"/>
    <w:rsid w:val="01093094"/>
    <w:rsid w:val="01253A58"/>
    <w:rsid w:val="015C1EA7"/>
    <w:rsid w:val="0173041C"/>
    <w:rsid w:val="01CC3850"/>
    <w:rsid w:val="02170F04"/>
    <w:rsid w:val="023F0255"/>
    <w:rsid w:val="026758D6"/>
    <w:rsid w:val="02841150"/>
    <w:rsid w:val="02877755"/>
    <w:rsid w:val="029C7E81"/>
    <w:rsid w:val="02A3532D"/>
    <w:rsid w:val="02D846B8"/>
    <w:rsid w:val="033762F3"/>
    <w:rsid w:val="03BC0544"/>
    <w:rsid w:val="03F20747"/>
    <w:rsid w:val="03F52EF1"/>
    <w:rsid w:val="04125B27"/>
    <w:rsid w:val="04405EF5"/>
    <w:rsid w:val="04CB4543"/>
    <w:rsid w:val="04D00B28"/>
    <w:rsid w:val="04D20ABE"/>
    <w:rsid w:val="04D45D7E"/>
    <w:rsid w:val="04E03234"/>
    <w:rsid w:val="04E37A71"/>
    <w:rsid w:val="05016B4B"/>
    <w:rsid w:val="051C35DB"/>
    <w:rsid w:val="051C5E70"/>
    <w:rsid w:val="05282872"/>
    <w:rsid w:val="05417DE5"/>
    <w:rsid w:val="054B2F76"/>
    <w:rsid w:val="05A723F5"/>
    <w:rsid w:val="05BD06FC"/>
    <w:rsid w:val="067316D1"/>
    <w:rsid w:val="06BC1B26"/>
    <w:rsid w:val="06C44D76"/>
    <w:rsid w:val="06CC6A93"/>
    <w:rsid w:val="06F13B3E"/>
    <w:rsid w:val="070A07A8"/>
    <w:rsid w:val="07146FB9"/>
    <w:rsid w:val="07500898"/>
    <w:rsid w:val="0761543E"/>
    <w:rsid w:val="07AB6B7C"/>
    <w:rsid w:val="07B01C17"/>
    <w:rsid w:val="07B9665C"/>
    <w:rsid w:val="081211A8"/>
    <w:rsid w:val="08141EDE"/>
    <w:rsid w:val="081960F2"/>
    <w:rsid w:val="08270E73"/>
    <w:rsid w:val="089A55A5"/>
    <w:rsid w:val="089C7FF6"/>
    <w:rsid w:val="08A15572"/>
    <w:rsid w:val="08CA7B8D"/>
    <w:rsid w:val="08D4009D"/>
    <w:rsid w:val="091D084E"/>
    <w:rsid w:val="09513B09"/>
    <w:rsid w:val="095A6032"/>
    <w:rsid w:val="09770669"/>
    <w:rsid w:val="097A2812"/>
    <w:rsid w:val="09A031B0"/>
    <w:rsid w:val="09A135F5"/>
    <w:rsid w:val="09C311AA"/>
    <w:rsid w:val="09D12390"/>
    <w:rsid w:val="09E82FB9"/>
    <w:rsid w:val="0A0559E5"/>
    <w:rsid w:val="0A1916F1"/>
    <w:rsid w:val="0A780F57"/>
    <w:rsid w:val="0A815DBA"/>
    <w:rsid w:val="0A8623F2"/>
    <w:rsid w:val="0A9415D8"/>
    <w:rsid w:val="0AB73C09"/>
    <w:rsid w:val="0ACB7E04"/>
    <w:rsid w:val="0AD61955"/>
    <w:rsid w:val="0B2F28B6"/>
    <w:rsid w:val="0B467838"/>
    <w:rsid w:val="0B5A55F4"/>
    <w:rsid w:val="0B8C77D2"/>
    <w:rsid w:val="0BD41FF2"/>
    <w:rsid w:val="0BEA010E"/>
    <w:rsid w:val="0C0A307C"/>
    <w:rsid w:val="0C0D3E03"/>
    <w:rsid w:val="0C493483"/>
    <w:rsid w:val="0C6611F3"/>
    <w:rsid w:val="0C7D50BB"/>
    <w:rsid w:val="0C8341EE"/>
    <w:rsid w:val="0CCB3EDA"/>
    <w:rsid w:val="0CF2445C"/>
    <w:rsid w:val="0D480602"/>
    <w:rsid w:val="0D6D7947"/>
    <w:rsid w:val="0DCF16A0"/>
    <w:rsid w:val="0E1952BC"/>
    <w:rsid w:val="0E7320F2"/>
    <w:rsid w:val="0E7E0622"/>
    <w:rsid w:val="0EAC613E"/>
    <w:rsid w:val="0EEB1260"/>
    <w:rsid w:val="0F025425"/>
    <w:rsid w:val="0F12677D"/>
    <w:rsid w:val="0F216B35"/>
    <w:rsid w:val="0F261512"/>
    <w:rsid w:val="0F4E7B7D"/>
    <w:rsid w:val="0F8333F8"/>
    <w:rsid w:val="0F861837"/>
    <w:rsid w:val="0F8A693D"/>
    <w:rsid w:val="0FB50E3E"/>
    <w:rsid w:val="0FBB3AFC"/>
    <w:rsid w:val="0FCA58C9"/>
    <w:rsid w:val="10055EF5"/>
    <w:rsid w:val="103F0EA7"/>
    <w:rsid w:val="10502355"/>
    <w:rsid w:val="10540347"/>
    <w:rsid w:val="1090662E"/>
    <w:rsid w:val="10AD401D"/>
    <w:rsid w:val="10B74A66"/>
    <w:rsid w:val="10CC6361"/>
    <w:rsid w:val="110747F6"/>
    <w:rsid w:val="110E4669"/>
    <w:rsid w:val="11130439"/>
    <w:rsid w:val="116D3136"/>
    <w:rsid w:val="1175763D"/>
    <w:rsid w:val="117F7F8E"/>
    <w:rsid w:val="11A55ACF"/>
    <w:rsid w:val="11FA2E6A"/>
    <w:rsid w:val="127048CC"/>
    <w:rsid w:val="12C00896"/>
    <w:rsid w:val="12C36682"/>
    <w:rsid w:val="130F1CE4"/>
    <w:rsid w:val="13102457"/>
    <w:rsid w:val="13342BF5"/>
    <w:rsid w:val="133F55CE"/>
    <w:rsid w:val="13492DF1"/>
    <w:rsid w:val="136C023C"/>
    <w:rsid w:val="137C6C33"/>
    <w:rsid w:val="13821925"/>
    <w:rsid w:val="138D7A19"/>
    <w:rsid w:val="13C77161"/>
    <w:rsid w:val="13C95AD6"/>
    <w:rsid w:val="13CA2691"/>
    <w:rsid w:val="13E32FD7"/>
    <w:rsid w:val="13F62AE5"/>
    <w:rsid w:val="14491299"/>
    <w:rsid w:val="14771D1F"/>
    <w:rsid w:val="14781C3E"/>
    <w:rsid w:val="14B04A39"/>
    <w:rsid w:val="150A0B95"/>
    <w:rsid w:val="151911FF"/>
    <w:rsid w:val="15522CFE"/>
    <w:rsid w:val="155A1811"/>
    <w:rsid w:val="158912D9"/>
    <w:rsid w:val="15950AE6"/>
    <w:rsid w:val="15CF24FE"/>
    <w:rsid w:val="15E203D9"/>
    <w:rsid w:val="15F97213"/>
    <w:rsid w:val="16195F04"/>
    <w:rsid w:val="162D28E7"/>
    <w:rsid w:val="167353EE"/>
    <w:rsid w:val="167D6055"/>
    <w:rsid w:val="16842433"/>
    <w:rsid w:val="16AC14FD"/>
    <w:rsid w:val="16AE0E93"/>
    <w:rsid w:val="16DE6A2A"/>
    <w:rsid w:val="16F07805"/>
    <w:rsid w:val="16F70F8B"/>
    <w:rsid w:val="16FF0BEB"/>
    <w:rsid w:val="173F3419"/>
    <w:rsid w:val="17563899"/>
    <w:rsid w:val="17740C91"/>
    <w:rsid w:val="17A2449F"/>
    <w:rsid w:val="17D85FF5"/>
    <w:rsid w:val="17E402DB"/>
    <w:rsid w:val="180C3E98"/>
    <w:rsid w:val="183B3FDA"/>
    <w:rsid w:val="18571B64"/>
    <w:rsid w:val="18582F89"/>
    <w:rsid w:val="18692D27"/>
    <w:rsid w:val="186A4A32"/>
    <w:rsid w:val="18BB18BB"/>
    <w:rsid w:val="18D90919"/>
    <w:rsid w:val="18ED62A9"/>
    <w:rsid w:val="192E42A2"/>
    <w:rsid w:val="197741B7"/>
    <w:rsid w:val="1A00166C"/>
    <w:rsid w:val="1A013743"/>
    <w:rsid w:val="1A1B6C8F"/>
    <w:rsid w:val="1A237B29"/>
    <w:rsid w:val="1A695BEB"/>
    <w:rsid w:val="1A6C298A"/>
    <w:rsid w:val="1A870A58"/>
    <w:rsid w:val="1AA716C7"/>
    <w:rsid w:val="1AAE4418"/>
    <w:rsid w:val="1AE45887"/>
    <w:rsid w:val="1B136731"/>
    <w:rsid w:val="1B1A6FFF"/>
    <w:rsid w:val="1BAC38B5"/>
    <w:rsid w:val="1C27399A"/>
    <w:rsid w:val="1C282CD6"/>
    <w:rsid w:val="1C474804"/>
    <w:rsid w:val="1C4E4039"/>
    <w:rsid w:val="1C5419D0"/>
    <w:rsid w:val="1C5E47D1"/>
    <w:rsid w:val="1C8B093C"/>
    <w:rsid w:val="1CA405B7"/>
    <w:rsid w:val="1CB417BD"/>
    <w:rsid w:val="1CD65E9E"/>
    <w:rsid w:val="1CDA474F"/>
    <w:rsid w:val="1CF833B3"/>
    <w:rsid w:val="1CFC0397"/>
    <w:rsid w:val="1D063103"/>
    <w:rsid w:val="1D073C31"/>
    <w:rsid w:val="1D241C7A"/>
    <w:rsid w:val="1D3665B6"/>
    <w:rsid w:val="1D4B55DD"/>
    <w:rsid w:val="1D737B26"/>
    <w:rsid w:val="1D7D241B"/>
    <w:rsid w:val="1D7F06FC"/>
    <w:rsid w:val="1D93056A"/>
    <w:rsid w:val="1D981EFB"/>
    <w:rsid w:val="1DA26C86"/>
    <w:rsid w:val="1DB9636F"/>
    <w:rsid w:val="1DE12999"/>
    <w:rsid w:val="1DE228C8"/>
    <w:rsid w:val="1DE37399"/>
    <w:rsid w:val="1DEB09C4"/>
    <w:rsid w:val="1E15454F"/>
    <w:rsid w:val="1E6C5A32"/>
    <w:rsid w:val="1E754C45"/>
    <w:rsid w:val="1E8813DC"/>
    <w:rsid w:val="1E92490C"/>
    <w:rsid w:val="1E9453C1"/>
    <w:rsid w:val="1E996AAA"/>
    <w:rsid w:val="1ED05424"/>
    <w:rsid w:val="1EF10808"/>
    <w:rsid w:val="1EF641AA"/>
    <w:rsid w:val="1F761DFB"/>
    <w:rsid w:val="1F8120B0"/>
    <w:rsid w:val="1F9808F2"/>
    <w:rsid w:val="1FA73982"/>
    <w:rsid w:val="1FB06431"/>
    <w:rsid w:val="1FC4726F"/>
    <w:rsid w:val="1FDF69A1"/>
    <w:rsid w:val="200B2803"/>
    <w:rsid w:val="200F3E56"/>
    <w:rsid w:val="203E252B"/>
    <w:rsid w:val="20437D8D"/>
    <w:rsid w:val="20934F37"/>
    <w:rsid w:val="209D6AB6"/>
    <w:rsid w:val="20C435A3"/>
    <w:rsid w:val="20CD00EC"/>
    <w:rsid w:val="21327E91"/>
    <w:rsid w:val="215965D0"/>
    <w:rsid w:val="2171044D"/>
    <w:rsid w:val="21C504E5"/>
    <w:rsid w:val="221C1470"/>
    <w:rsid w:val="223023CA"/>
    <w:rsid w:val="229F3643"/>
    <w:rsid w:val="22BE7821"/>
    <w:rsid w:val="22C77B06"/>
    <w:rsid w:val="22CA2100"/>
    <w:rsid w:val="22DD7BC5"/>
    <w:rsid w:val="22E75635"/>
    <w:rsid w:val="23021ACF"/>
    <w:rsid w:val="230304E2"/>
    <w:rsid w:val="23190FEE"/>
    <w:rsid w:val="233E4C74"/>
    <w:rsid w:val="235468EF"/>
    <w:rsid w:val="23760E14"/>
    <w:rsid w:val="23774605"/>
    <w:rsid w:val="23A9776E"/>
    <w:rsid w:val="23AC0865"/>
    <w:rsid w:val="24493731"/>
    <w:rsid w:val="24640CB9"/>
    <w:rsid w:val="2468321F"/>
    <w:rsid w:val="2469252F"/>
    <w:rsid w:val="2469715E"/>
    <w:rsid w:val="24A32E92"/>
    <w:rsid w:val="24CA6EB1"/>
    <w:rsid w:val="24D208AD"/>
    <w:rsid w:val="24F62B7C"/>
    <w:rsid w:val="24FC1CF3"/>
    <w:rsid w:val="254472C5"/>
    <w:rsid w:val="2548256C"/>
    <w:rsid w:val="25487065"/>
    <w:rsid w:val="2564150A"/>
    <w:rsid w:val="25685AA0"/>
    <w:rsid w:val="256F72AC"/>
    <w:rsid w:val="2577528F"/>
    <w:rsid w:val="257C6B21"/>
    <w:rsid w:val="257D310E"/>
    <w:rsid w:val="257F2ACE"/>
    <w:rsid w:val="258958EB"/>
    <w:rsid w:val="258F066F"/>
    <w:rsid w:val="25974A07"/>
    <w:rsid w:val="25AC6510"/>
    <w:rsid w:val="25D92964"/>
    <w:rsid w:val="25E24B11"/>
    <w:rsid w:val="25F46178"/>
    <w:rsid w:val="26531E3A"/>
    <w:rsid w:val="26B618DB"/>
    <w:rsid w:val="26F22AC6"/>
    <w:rsid w:val="27225A1D"/>
    <w:rsid w:val="272E4CD8"/>
    <w:rsid w:val="273A4B5D"/>
    <w:rsid w:val="275664D1"/>
    <w:rsid w:val="275E2B1F"/>
    <w:rsid w:val="27AC2A2D"/>
    <w:rsid w:val="27D318DA"/>
    <w:rsid w:val="27DD2494"/>
    <w:rsid w:val="283E3920"/>
    <w:rsid w:val="284B4E64"/>
    <w:rsid w:val="2851175C"/>
    <w:rsid w:val="285A6ADF"/>
    <w:rsid w:val="285E7DC9"/>
    <w:rsid w:val="286F1240"/>
    <w:rsid w:val="288975F4"/>
    <w:rsid w:val="28975FA7"/>
    <w:rsid w:val="289A1E31"/>
    <w:rsid w:val="28E22C4F"/>
    <w:rsid w:val="294F6AB7"/>
    <w:rsid w:val="295D3161"/>
    <w:rsid w:val="29721B8C"/>
    <w:rsid w:val="297C04D8"/>
    <w:rsid w:val="299D6330"/>
    <w:rsid w:val="29A90AEF"/>
    <w:rsid w:val="29DC0CC4"/>
    <w:rsid w:val="29F54ECF"/>
    <w:rsid w:val="2A1467A4"/>
    <w:rsid w:val="2A4A6748"/>
    <w:rsid w:val="2A7943AA"/>
    <w:rsid w:val="2A7D0064"/>
    <w:rsid w:val="2AB743BD"/>
    <w:rsid w:val="2AE44F75"/>
    <w:rsid w:val="2AFE60ED"/>
    <w:rsid w:val="2B011741"/>
    <w:rsid w:val="2B0F4F64"/>
    <w:rsid w:val="2B350B31"/>
    <w:rsid w:val="2B5255F1"/>
    <w:rsid w:val="2B71643B"/>
    <w:rsid w:val="2BBC4FF0"/>
    <w:rsid w:val="2BC453CE"/>
    <w:rsid w:val="2BDA3937"/>
    <w:rsid w:val="2BE13DE9"/>
    <w:rsid w:val="2BF34443"/>
    <w:rsid w:val="2BFB3A47"/>
    <w:rsid w:val="2C105004"/>
    <w:rsid w:val="2C455EAE"/>
    <w:rsid w:val="2C711977"/>
    <w:rsid w:val="2CA07818"/>
    <w:rsid w:val="2CC67300"/>
    <w:rsid w:val="2CD8555D"/>
    <w:rsid w:val="2D785C86"/>
    <w:rsid w:val="2DF205DC"/>
    <w:rsid w:val="2DF65358"/>
    <w:rsid w:val="2E2D7615"/>
    <w:rsid w:val="2E3B2857"/>
    <w:rsid w:val="2E6179A8"/>
    <w:rsid w:val="2EB36E2A"/>
    <w:rsid w:val="2EF27C82"/>
    <w:rsid w:val="2F08136C"/>
    <w:rsid w:val="2F12698E"/>
    <w:rsid w:val="2F13157D"/>
    <w:rsid w:val="2F714B28"/>
    <w:rsid w:val="2FFD1157"/>
    <w:rsid w:val="302D7407"/>
    <w:rsid w:val="30436462"/>
    <w:rsid w:val="305F14D4"/>
    <w:rsid w:val="30723C47"/>
    <w:rsid w:val="3076754F"/>
    <w:rsid w:val="30952E40"/>
    <w:rsid w:val="30A15BF6"/>
    <w:rsid w:val="30B32D1D"/>
    <w:rsid w:val="30C9307E"/>
    <w:rsid w:val="30E62C86"/>
    <w:rsid w:val="30F26E62"/>
    <w:rsid w:val="31084B1B"/>
    <w:rsid w:val="312B63FB"/>
    <w:rsid w:val="31764E0B"/>
    <w:rsid w:val="31771A3C"/>
    <w:rsid w:val="319B1F1B"/>
    <w:rsid w:val="319C2CCB"/>
    <w:rsid w:val="31A25D06"/>
    <w:rsid w:val="31BA2245"/>
    <w:rsid w:val="31E12341"/>
    <w:rsid w:val="32104C3B"/>
    <w:rsid w:val="3215201F"/>
    <w:rsid w:val="323A109A"/>
    <w:rsid w:val="32533064"/>
    <w:rsid w:val="326A1568"/>
    <w:rsid w:val="326A15DE"/>
    <w:rsid w:val="32B6572F"/>
    <w:rsid w:val="32E85044"/>
    <w:rsid w:val="33073AC3"/>
    <w:rsid w:val="33292C1B"/>
    <w:rsid w:val="332B6F38"/>
    <w:rsid w:val="33536ADA"/>
    <w:rsid w:val="33675085"/>
    <w:rsid w:val="33A77204"/>
    <w:rsid w:val="33CC508C"/>
    <w:rsid w:val="33D9634E"/>
    <w:rsid w:val="34257196"/>
    <w:rsid w:val="34293645"/>
    <w:rsid w:val="34743454"/>
    <w:rsid w:val="34757E10"/>
    <w:rsid w:val="34801A35"/>
    <w:rsid w:val="34A1798B"/>
    <w:rsid w:val="34BF3ADB"/>
    <w:rsid w:val="34C6280F"/>
    <w:rsid w:val="34D43A2F"/>
    <w:rsid w:val="34E3562D"/>
    <w:rsid w:val="34E94BC5"/>
    <w:rsid w:val="3503123D"/>
    <w:rsid w:val="350C5EB2"/>
    <w:rsid w:val="351E5E64"/>
    <w:rsid w:val="353F036E"/>
    <w:rsid w:val="35491CE2"/>
    <w:rsid w:val="355F4577"/>
    <w:rsid w:val="356E1C04"/>
    <w:rsid w:val="35A94589"/>
    <w:rsid w:val="35C46184"/>
    <w:rsid w:val="3601599D"/>
    <w:rsid w:val="360C2556"/>
    <w:rsid w:val="36241472"/>
    <w:rsid w:val="36617AF8"/>
    <w:rsid w:val="366C7495"/>
    <w:rsid w:val="36C85B26"/>
    <w:rsid w:val="36D04C53"/>
    <w:rsid w:val="36D660CB"/>
    <w:rsid w:val="36DF4A1B"/>
    <w:rsid w:val="36F144CC"/>
    <w:rsid w:val="37195DB9"/>
    <w:rsid w:val="375F6EFD"/>
    <w:rsid w:val="377B79E7"/>
    <w:rsid w:val="377E5A5C"/>
    <w:rsid w:val="37C82110"/>
    <w:rsid w:val="381F4724"/>
    <w:rsid w:val="38204594"/>
    <w:rsid w:val="384D73F5"/>
    <w:rsid w:val="386D4174"/>
    <w:rsid w:val="38795F87"/>
    <w:rsid w:val="38A867C4"/>
    <w:rsid w:val="39135739"/>
    <w:rsid w:val="391809B2"/>
    <w:rsid w:val="391E6DF8"/>
    <w:rsid w:val="393E5D1C"/>
    <w:rsid w:val="394B6B79"/>
    <w:rsid w:val="39691AEB"/>
    <w:rsid w:val="396D6505"/>
    <w:rsid w:val="39753155"/>
    <w:rsid w:val="398307FD"/>
    <w:rsid w:val="39907AAC"/>
    <w:rsid w:val="39A37EB6"/>
    <w:rsid w:val="39C90006"/>
    <w:rsid w:val="3A0F502D"/>
    <w:rsid w:val="3A1520AD"/>
    <w:rsid w:val="3A3304AA"/>
    <w:rsid w:val="3A3753CE"/>
    <w:rsid w:val="3A446DA1"/>
    <w:rsid w:val="3A83019C"/>
    <w:rsid w:val="3A9F29F4"/>
    <w:rsid w:val="3B0A2731"/>
    <w:rsid w:val="3B2A61EE"/>
    <w:rsid w:val="3B3F19E6"/>
    <w:rsid w:val="3B6349B3"/>
    <w:rsid w:val="3B684717"/>
    <w:rsid w:val="3B8D590D"/>
    <w:rsid w:val="3BA74E0E"/>
    <w:rsid w:val="3C7562BD"/>
    <w:rsid w:val="3D0D24B8"/>
    <w:rsid w:val="3D11266F"/>
    <w:rsid w:val="3D136A16"/>
    <w:rsid w:val="3D2C588C"/>
    <w:rsid w:val="3D5003FE"/>
    <w:rsid w:val="3D56348B"/>
    <w:rsid w:val="3D7B50C8"/>
    <w:rsid w:val="3DBF2006"/>
    <w:rsid w:val="3DC3308C"/>
    <w:rsid w:val="3DD4459B"/>
    <w:rsid w:val="3E081F45"/>
    <w:rsid w:val="3E0F1B8D"/>
    <w:rsid w:val="3E1174EB"/>
    <w:rsid w:val="3E1575FC"/>
    <w:rsid w:val="3E600EEA"/>
    <w:rsid w:val="3E8227B1"/>
    <w:rsid w:val="3ED03E60"/>
    <w:rsid w:val="3EFD03E1"/>
    <w:rsid w:val="3F0547C8"/>
    <w:rsid w:val="3F5C3CFE"/>
    <w:rsid w:val="40252361"/>
    <w:rsid w:val="403806FB"/>
    <w:rsid w:val="408F7BE9"/>
    <w:rsid w:val="40A54AB0"/>
    <w:rsid w:val="40E242A4"/>
    <w:rsid w:val="40F95367"/>
    <w:rsid w:val="41283344"/>
    <w:rsid w:val="412958F0"/>
    <w:rsid w:val="4131626E"/>
    <w:rsid w:val="413E3BE9"/>
    <w:rsid w:val="41441D80"/>
    <w:rsid w:val="415418A0"/>
    <w:rsid w:val="415F1CA3"/>
    <w:rsid w:val="415F22D9"/>
    <w:rsid w:val="41767D68"/>
    <w:rsid w:val="417809AD"/>
    <w:rsid w:val="41781113"/>
    <w:rsid w:val="418F00ED"/>
    <w:rsid w:val="41B32D24"/>
    <w:rsid w:val="41C23A1B"/>
    <w:rsid w:val="41DA317B"/>
    <w:rsid w:val="4205353D"/>
    <w:rsid w:val="420B1256"/>
    <w:rsid w:val="42163FD8"/>
    <w:rsid w:val="421B261C"/>
    <w:rsid w:val="422043FE"/>
    <w:rsid w:val="42232391"/>
    <w:rsid w:val="424B00CF"/>
    <w:rsid w:val="426564D2"/>
    <w:rsid w:val="4266190C"/>
    <w:rsid w:val="428B4A28"/>
    <w:rsid w:val="42C57B2B"/>
    <w:rsid w:val="42CB44F9"/>
    <w:rsid w:val="42D13CE2"/>
    <w:rsid w:val="42E52AC3"/>
    <w:rsid w:val="430F7784"/>
    <w:rsid w:val="4336626D"/>
    <w:rsid w:val="433F700B"/>
    <w:rsid w:val="434332BA"/>
    <w:rsid w:val="435026FB"/>
    <w:rsid w:val="4377227D"/>
    <w:rsid w:val="437D31DB"/>
    <w:rsid w:val="438B6421"/>
    <w:rsid w:val="43A53CD0"/>
    <w:rsid w:val="43E9301B"/>
    <w:rsid w:val="43FA1D03"/>
    <w:rsid w:val="440A24DB"/>
    <w:rsid w:val="44441B3A"/>
    <w:rsid w:val="44474BF7"/>
    <w:rsid w:val="446823E9"/>
    <w:rsid w:val="4474548A"/>
    <w:rsid w:val="447471F9"/>
    <w:rsid w:val="449640ED"/>
    <w:rsid w:val="44BB7070"/>
    <w:rsid w:val="450B0C2A"/>
    <w:rsid w:val="453E2A26"/>
    <w:rsid w:val="454B42E2"/>
    <w:rsid w:val="455F61C3"/>
    <w:rsid w:val="45607C7F"/>
    <w:rsid w:val="456127CB"/>
    <w:rsid w:val="45EF749E"/>
    <w:rsid w:val="46260860"/>
    <w:rsid w:val="462C5FEC"/>
    <w:rsid w:val="4669139F"/>
    <w:rsid w:val="46703085"/>
    <w:rsid w:val="46874842"/>
    <w:rsid w:val="469357CE"/>
    <w:rsid w:val="46BD1376"/>
    <w:rsid w:val="46C17974"/>
    <w:rsid w:val="46E40E1C"/>
    <w:rsid w:val="46FD6335"/>
    <w:rsid w:val="478B1873"/>
    <w:rsid w:val="478F7DF9"/>
    <w:rsid w:val="47BE348C"/>
    <w:rsid w:val="47CC2983"/>
    <w:rsid w:val="47FC5F3B"/>
    <w:rsid w:val="48787A87"/>
    <w:rsid w:val="488A7C8E"/>
    <w:rsid w:val="488D5D3C"/>
    <w:rsid w:val="48D97B58"/>
    <w:rsid w:val="48FF663E"/>
    <w:rsid w:val="490304DF"/>
    <w:rsid w:val="49055532"/>
    <w:rsid w:val="490A2024"/>
    <w:rsid w:val="493267A8"/>
    <w:rsid w:val="493B230D"/>
    <w:rsid w:val="49680FEE"/>
    <w:rsid w:val="49790F2B"/>
    <w:rsid w:val="497E6D80"/>
    <w:rsid w:val="49AF0D44"/>
    <w:rsid w:val="49DB62C6"/>
    <w:rsid w:val="49FD450A"/>
    <w:rsid w:val="4A456D39"/>
    <w:rsid w:val="4A712F7B"/>
    <w:rsid w:val="4A8052EA"/>
    <w:rsid w:val="4A897EB9"/>
    <w:rsid w:val="4A951138"/>
    <w:rsid w:val="4AA310AB"/>
    <w:rsid w:val="4ACB31A4"/>
    <w:rsid w:val="4ADC5319"/>
    <w:rsid w:val="4AED40D2"/>
    <w:rsid w:val="4AF126EA"/>
    <w:rsid w:val="4AFF4E62"/>
    <w:rsid w:val="4B470987"/>
    <w:rsid w:val="4B541187"/>
    <w:rsid w:val="4B5C5634"/>
    <w:rsid w:val="4B6D10A7"/>
    <w:rsid w:val="4B7618A9"/>
    <w:rsid w:val="4B813A57"/>
    <w:rsid w:val="4B9B6ED4"/>
    <w:rsid w:val="4B9E0558"/>
    <w:rsid w:val="4BA7151A"/>
    <w:rsid w:val="4BBF65BA"/>
    <w:rsid w:val="4BCC0A1A"/>
    <w:rsid w:val="4BD227F5"/>
    <w:rsid w:val="4BD90E6B"/>
    <w:rsid w:val="4BFE0A8E"/>
    <w:rsid w:val="4C0E0FCC"/>
    <w:rsid w:val="4C3972B3"/>
    <w:rsid w:val="4C852E60"/>
    <w:rsid w:val="4CE65EAE"/>
    <w:rsid w:val="4CF9171F"/>
    <w:rsid w:val="4D8E2A8B"/>
    <w:rsid w:val="4E101F09"/>
    <w:rsid w:val="4E2E64C4"/>
    <w:rsid w:val="4E2F0BB5"/>
    <w:rsid w:val="4E6A6D89"/>
    <w:rsid w:val="4E6B582B"/>
    <w:rsid w:val="4E7754F5"/>
    <w:rsid w:val="4E8D0EF4"/>
    <w:rsid w:val="4E8F6EB0"/>
    <w:rsid w:val="4E9D4D5C"/>
    <w:rsid w:val="4EC01F3B"/>
    <w:rsid w:val="4EC62584"/>
    <w:rsid w:val="4ED07AEA"/>
    <w:rsid w:val="4EE22A8E"/>
    <w:rsid w:val="4EEA3167"/>
    <w:rsid w:val="4F2D63CF"/>
    <w:rsid w:val="4F5132E8"/>
    <w:rsid w:val="4F545795"/>
    <w:rsid w:val="4F752A94"/>
    <w:rsid w:val="4F806DF9"/>
    <w:rsid w:val="4F820BE5"/>
    <w:rsid w:val="4F932BC0"/>
    <w:rsid w:val="4FA65500"/>
    <w:rsid w:val="4FB70577"/>
    <w:rsid w:val="4FC86A0D"/>
    <w:rsid w:val="50377F53"/>
    <w:rsid w:val="5071702E"/>
    <w:rsid w:val="5073611E"/>
    <w:rsid w:val="507A46C0"/>
    <w:rsid w:val="508844FD"/>
    <w:rsid w:val="509632A3"/>
    <w:rsid w:val="50A10BB7"/>
    <w:rsid w:val="50E30108"/>
    <w:rsid w:val="511167FA"/>
    <w:rsid w:val="51954873"/>
    <w:rsid w:val="51C65A3F"/>
    <w:rsid w:val="51D64B7F"/>
    <w:rsid w:val="51F120B4"/>
    <w:rsid w:val="51FF57F8"/>
    <w:rsid w:val="52023C98"/>
    <w:rsid w:val="522E2C98"/>
    <w:rsid w:val="5231029C"/>
    <w:rsid w:val="524F733F"/>
    <w:rsid w:val="52A81CF9"/>
    <w:rsid w:val="52B3037B"/>
    <w:rsid w:val="52CE1C16"/>
    <w:rsid w:val="52EC647F"/>
    <w:rsid w:val="52F63EB4"/>
    <w:rsid w:val="52F81B12"/>
    <w:rsid w:val="537D7B44"/>
    <w:rsid w:val="538D06C9"/>
    <w:rsid w:val="53AE5515"/>
    <w:rsid w:val="53B72BCB"/>
    <w:rsid w:val="53B82E3B"/>
    <w:rsid w:val="53D65177"/>
    <w:rsid w:val="53E71174"/>
    <w:rsid w:val="53FE4C00"/>
    <w:rsid w:val="54165510"/>
    <w:rsid w:val="5425588F"/>
    <w:rsid w:val="543958FD"/>
    <w:rsid w:val="546A7902"/>
    <w:rsid w:val="547C301F"/>
    <w:rsid w:val="547E1D20"/>
    <w:rsid w:val="549C5E08"/>
    <w:rsid w:val="54D700BD"/>
    <w:rsid w:val="54DF2167"/>
    <w:rsid w:val="54F751FF"/>
    <w:rsid w:val="550917C5"/>
    <w:rsid w:val="551201C2"/>
    <w:rsid w:val="551A2D47"/>
    <w:rsid w:val="55455F2E"/>
    <w:rsid w:val="555417A1"/>
    <w:rsid w:val="556B1F3B"/>
    <w:rsid w:val="55793256"/>
    <w:rsid w:val="562F5C72"/>
    <w:rsid w:val="563D1E2F"/>
    <w:rsid w:val="56403824"/>
    <w:rsid w:val="56563C96"/>
    <w:rsid w:val="565D7A10"/>
    <w:rsid w:val="565E2001"/>
    <w:rsid w:val="56606E5E"/>
    <w:rsid w:val="569B7E68"/>
    <w:rsid w:val="56A4180F"/>
    <w:rsid w:val="56D71BFE"/>
    <w:rsid w:val="56E24FFD"/>
    <w:rsid w:val="56FC146C"/>
    <w:rsid w:val="572509D0"/>
    <w:rsid w:val="5728257C"/>
    <w:rsid w:val="57296884"/>
    <w:rsid w:val="57314E61"/>
    <w:rsid w:val="578C1655"/>
    <w:rsid w:val="57A53523"/>
    <w:rsid w:val="57B419C5"/>
    <w:rsid w:val="57D77871"/>
    <w:rsid w:val="57DA35CF"/>
    <w:rsid w:val="57F4473E"/>
    <w:rsid w:val="58011F05"/>
    <w:rsid w:val="580744A0"/>
    <w:rsid w:val="581D1794"/>
    <w:rsid w:val="582969A3"/>
    <w:rsid w:val="587E3ECA"/>
    <w:rsid w:val="58CF2C0B"/>
    <w:rsid w:val="58D0727B"/>
    <w:rsid w:val="58ED5445"/>
    <w:rsid w:val="590F47E9"/>
    <w:rsid w:val="5910472A"/>
    <w:rsid w:val="59240255"/>
    <w:rsid w:val="593C66D3"/>
    <w:rsid w:val="594F105A"/>
    <w:rsid w:val="597100A0"/>
    <w:rsid w:val="598A652B"/>
    <w:rsid w:val="5A3E00F6"/>
    <w:rsid w:val="5A674ACB"/>
    <w:rsid w:val="5A8D0101"/>
    <w:rsid w:val="5A906833"/>
    <w:rsid w:val="5A9C7662"/>
    <w:rsid w:val="5AAB4460"/>
    <w:rsid w:val="5AD3461D"/>
    <w:rsid w:val="5AF5255D"/>
    <w:rsid w:val="5AFA7B90"/>
    <w:rsid w:val="5B115FDA"/>
    <w:rsid w:val="5B47159C"/>
    <w:rsid w:val="5B732F3A"/>
    <w:rsid w:val="5B754949"/>
    <w:rsid w:val="5B881DBB"/>
    <w:rsid w:val="5C0D79E0"/>
    <w:rsid w:val="5C2A0D26"/>
    <w:rsid w:val="5C2A6DA9"/>
    <w:rsid w:val="5C9215FD"/>
    <w:rsid w:val="5CB15350"/>
    <w:rsid w:val="5CBF2D42"/>
    <w:rsid w:val="5CC47037"/>
    <w:rsid w:val="5CD221AD"/>
    <w:rsid w:val="5CE03063"/>
    <w:rsid w:val="5D894968"/>
    <w:rsid w:val="5D8B5D2E"/>
    <w:rsid w:val="5DAB67F7"/>
    <w:rsid w:val="5DD255A0"/>
    <w:rsid w:val="5DEA037E"/>
    <w:rsid w:val="5DEF751F"/>
    <w:rsid w:val="5E4E5084"/>
    <w:rsid w:val="5E6B6FAB"/>
    <w:rsid w:val="5E6D4DC5"/>
    <w:rsid w:val="5E9B05B8"/>
    <w:rsid w:val="5E9C3FBF"/>
    <w:rsid w:val="5ED62129"/>
    <w:rsid w:val="5EFC682C"/>
    <w:rsid w:val="5F062457"/>
    <w:rsid w:val="5F592307"/>
    <w:rsid w:val="5F93194C"/>
    <w:rsid w:val="5FA63FCE"/>
    <w:rsid w:val="5FAA3DC6"/>
    <w:rsid w:val="5FBD5F95"/>
    <w:rsid w:val="5FE24514"/>
    <w:rsid w:val="60113815"/>
    <w:rsid w:val="60204357"/>
    <w:rsid w:val="603F078E"/>
    <w:rsid w:val="60442F69"/>
    <w:rsid w:val="60812AD7"/>
    <w:rsid w:val="60890B82"/>
    <w:rsid w:val="608C2825"/>
    <w:rsid w:val="60A96567"/>
    <w:rsid w:val="60C1254E"/>
    <w:rsid w:val="60CA48DB"/>
    <w:rsid w:val="60E04EF3"/>
    <w:rsid w:val="6106368E"/>
    <w:rsid w:val="612A76B1"/>
    <w:rsid w:val="612E1B21"/>
    <w:rsid w:val="614A470D"/>
    <w:rsid w:val="618F036B"/>
    <w:rsid w:val="61CF6B35"/>
    <w:rsid w:val="61DD086C"/>
    <w:rsid w:val="620F0813"/>
    <w:rsid w:val="621073B2"/>
    <w:rsid w:val="62235FFE"/>
    <w:rsid w:val="625253AF"/>
    <w:rsid w:val="62591D4E"/>
    <w:rsid w:val="62726749"/>
    <w:rsid w:val="627523C2"/>
    <w:rsid w:val="630F7FAC"/>
    <w:rsid w:val="631C7B86"/>
    <w:rsid w:val="63363081"/>
    <w:rsid w:val="6348539B"/>
    <w:rsid w:val="63657AEE"/>
    <w:rsid w:val="638228CE"/>
    <w:rsid w:val="63A82C75"/>
    <w:rsid w:val="63AC1574"/>
    <w:rsid w:val="63B22EA9"/>
    <w:rsid w:val="64030869"/>
    <w:rsid w:val="643F1880"/>
    <w:rsid w:val="64653C66"/>
    <w:rsid w:val="646B3E19"/>
    <w:rsid w:val="64A236B1"/>
    <w:rsid w:val="64A646F3"/>
    <w:rsid w:val="6500422E"/>
    <w:rsid w:val="650E3AB5"/>
    <w:rsid w:val="6536267B"/>
    <w:rsid w:val="65392F75"/>
    <w:rsid w:val="654D5DA7"/>
    <w:rsid w:val="6570329B"/>
    <w:rsid w:val="65ED7C29"/>
    <w:rsid w:val="661A13D3"/>
    <w:rsid w:val="66423C4D"/>
    <w:rsid w:val="66472D88"/>
    <w:rsid w:val="664849A0"/>
    <w:rsid w:val="66670930"/>
    <w:rsid w:val="66712D88"/>
    <w:rsid w:val="667D5922"/>
    <w:rsid w:val="66AC7226"/>
    <w:rsid w:val="66C32BB3"/>
    <w:rsid w:val="66D950DB"/>
    <w:rsid w:val="66DF3A90"/>
    <w:rsid w:val="670B6845"/>
    <w:rsid w:val="67264A81"/>
    <w:rsid w:val="6742656A"/>
    <w:rsid w:val="674A54B3"/>
    <w:rsid w:val="675271F7"/>
    <w:rsid w:val="675B31DA"/>
    <w:rsid w:val="67826901"/>
    <w:rsid w:val="679B6DEE"/>
    <w:rsid w:val="67A36101"/>
    <w:rsid w:val="682062E8"/>
    <w:rsid w:val="68214FE7"/>
    <w:rsid w:val="682818D7"/>
    <w:rsid w:val="683E4BF5"/>
    <w:rsid w:val="687D3E06"/>
    <w:rsid w:val="68852E1C"/>
    <w:rsid w:val="689E5D80"/>
    <w:rsid w:val="69600980"/>
    <w:rsid w:val="69707BB8"/>
    <w:rsid w:val="69830C45"/>
    <w:rsid w:val="6997702B"/>
    <w:rsid w:val="69980A51"/>
    <w:rsid w:val="69C24755"/>
    <w:rsid w:val="69CC5FF9"/>
    <w:rsid w:val="69CD3A1A"/>
    <w:rsid w:val="69D52470"/>
    <w:rsid w:val="69E75D0B"/>
    <w:rsid w:val="69FF3C9E"/>
    <w:rsid w:val="6A254E7E"/>
    <w:rsid w:val="6A4F4FF7"/>
    <w:rsid w:val="6A8B2B4B"/>
    <w:rsid w:val="6A940DB2"/>
    <w:rsid w:val="6AA43001"/>
    <w:rsid w:val="6AB6429D"/>
    <w:rsid w:val="6AC05D2A"/>
    <w:rsid w:val="6AC2337D"/>
    <w:rsid w:val="6ADD14BE"/>
    <w:rsid w:val="6AE05DD0"/>
    <w:rsid w:val="6AE84A89"/>
    <w:rsid w:val="6AF0232F"/>
    <w:rsid w:val="6B176735"/>
    <w:rsid w:val="6B231F18"/>
    <w:rsid w:val="6B425032"/>
    <w:rsid w:val="6B984B07"/>
    <w:rsid w:val="6BA8467F"/>
    <w:rsid w:val="6BAC33A7"/>
    <w:rsid w:val="6BC8762F"/>
    <w:rsid w:val="6C0F60EB"/>
    <w:rsid w:val="6C220E71"/>
    <w:rsid w:val="6C6677AE"/>
    <w:rsid w:val="6C686F9E"/>
    <w:rsid w:val="6C8E3052"/>
    <w:rsid w:val="6CD6696A"/>
    <w:rsid w:val="6CDC5419"/>
    <w:rsid w:val="6CEC2ECB"/>
    <w:rsid w:val="6CF922E8"/>
    <w:rsid w:val="6D2178CF"/>
    <w:rsid w:val="6D3D4A03"/>
    <w:rsid w:val="6D4479A1"/>
    <w:rsid w:val="6D4C2938"/>
    <w:rsid w:val="6D4E5909"/>
    <w:rsid w:val="6D83095D"/>
    <w:rsid w:val="6D965DD8"/>
    <w:rsid w:val="6DAC3E8A"/>
    <w:rsid w:val="6DB125C3"/>
    <w:rsid w:val="6DB56522"/>
    <w:rsid w:val="6DB84ACD"/>
    <w:rsid w:val="6DB84C5A"/>
    <w:rsid w:val="6DE56920"/>
    <w:rsid w:val="6DFB2975"/>
    <w:rsid w:val="6DFF7532"/>
    <w:rsid w:val="6E065665"/>
    <w:rsid w:val="6E185BAE"/>
    <w:rsid w:val="6E657042"/>
    <w:rsid w:val="6E7D31A7"/>
    <w:rsid w:val="6E99550A"/>
    <w:rsid w:val="6EDA3F0A"/>
    <w:rsid w:val="6EEE6F99"/>
    <w:rsid w:val="6EF52BFE"/>
    <w:rsid w:val="6EFD42A1"/>
    <w:rsid w:val="6F197910"/>
    <w:rsid w:val="6F24542C"/>
    <w:rsid w:val="6F2C56EB"/>
    <w:rsid w:val="6F363954"/>
    <w:rsid w:val="6F6A3BC6"/>
    <w:rsid w:val="6F723239"/>
    <w:rsid w:val="6F8827D4"/>
    <w:rsid w:val="6F9848FD"/>
    <w:rsid w:val="6FAA6473"/>
    <w:rsid w:val="6FBB7239"/>
    <w:rsid w:val="6FE45A0F"/>
    <w:rsid w:val="701366A8"/>
    <w:rsid w:val="701F19C7"/>
    <w:rsid w:val="702A23CE"/>
    <w:rsid w:val="703140FC"/>
    <w:rsid w:val="704843EC"/>
    <w:rsid w:val="712C165B"/>
    <w:rsid w:val="716D13AB"/>
    <w:rsid w:val="71847F9E"/>
    <w:rsid w:val="719234BA"/>
    <w:rsid w:val="71A86C93"/>
    <w:rsid w:val="71EC68E7"/>
    <w:rsid w:val="71FA793B"/>
    <w:rsid w:val="72177478"/>
    <w:rsid w:val="7223505B"/>
    <w:rsid w:val="72363AB6"/>
    <w:rsid w:val="7241147C"/>
    <w:rsid w:val="72451EB2"/>
    <w:rsid w:val="7257143C"/>
    <w:rsid w:val="72581C7F"/>
    <w:rsid w:val="72606B73"/>
    <w:rsid w:val="726D06D9"/>
    <w:rsid w:val="72A43471"/>
    <w:rsid w:val="72B611FA"/>
    <w:rsid w:val="735E784C"/>
    <w:rsid w:val="73644E0A"/>
    <w:rsid w:val="737D1D83"/>
    <w:rsid w:val="737D52D9"/>
    <w:rsid w:val="738F5E6C"/>
    <w:rsid w:val="73F16B3C"/>
    <w:rsid w:val="74044B50"/>
    <w:rsid w:val="742F6106"/>
    <w:rsid w:val="744B4B94"/>
    <w:rsid w:val="7465191F"/>
    <w:rsid w:val="74794AA3"/>
    <w:rsid w:val="74B0580F"/>
    <w:rsid w:val="74D94537"/>
    <w:rsid w:val="753354F9"/>
    <w:rsid w:val="755460EB"/>
    <w:rsid w:val="75CE4524"/>
    <w:rsid w:val="75D06792"/>
    <w:rsid w:val="76012E52"/>
    <w:rsid w:val="762B0BC9"/>
    <w:rsid w:val="7633403A"/>
    <w:rsid w:val="76371BC7"/>
    <w:rsid w:val="765908D3"/>
    <w:rsid w:val="76844CDB"/>
    <w:rsid w:val="76A407DF"/>
    <w:rsid w:val="76B42985"/>
    <w:rsid w:val="77901841"/>
    <w:rsid w:val="77D43708"/>
    <w:rsid w:val="77D9168F"/>
    <w:rsid w:val="77DA5702"/>
    <w:rsid w:val="784975D7"/>
    <w:rsid w:val="787B07F9"/>
    <w:rsid w:val="788076A8"/>
    <w:rsid w:val="788778DD"/>
    <w:rsid w:val="78A31A58"/>
    <w:rsid w:val="78FA61B3"/>
    <w:rsid w:val="793813BC"/>
    <w:rsid w:val="793F6D6D"/>
    <w:rsid w:val="794F5E0C"/>
    <w:rsid w:val="79941677"/>
    <w:rsid w:val="79C24E98"/>
    <w:rsid w:val="79F34F9B"/>
    <w:rsid w:val="7A1610AF"/>
    <w:rsid w:val="7A5746D7"/>
    <w:rsid w:val="7A910195"/>
    <w:rsid w:val="7AA1761C"/>
    <w:rsid w:val="7AA30CEB"/>
    <w:rsid w:val="7ABA4D65"/>
    <w:rsid w:val="7ADC6C3C"/>
    <w:rsid w:val="7AE20903"/>
    <w:rsid w:val="7B0129ED"/>
    <w:rsid w:val="7B11339A"/>
    <w:rsid w:val="7B19341C"/>
    <w:rsid w:val="7B271DF8"/>
    <w:rsid w:val="7B50660A"/>
    <w:rsid w:val="7B5512E7"/>
    <w:rsid w:val="7B645DEA"/>
    <w:rsid w:val="7B6A18D0"/>
    <w:rsid w:val="7B6F44D4"/>
    <w:rsid w:val="7B98255D"/>
    <w:rsid w:val="7B9C1FCE"/>
    <w:rsid w:val="7BC77859"/>
    <w:rsid w:val="7C273DBB"/>
    <w:rsid w:val="7C370B7C"/>
    <w:rsid w:val="7C47322E"/>
    <w:rsid w:val="7C5413CB"/>
    <w:rsid w:val="7C73167B"/>
    <w:rsid w:val="7C934937"/>
    <w:rsid w:val="7C941469"/>
    <w:rsid w:val="7CB70A0B"/>
    <w:rsid w:val="7CCA6A86"/>
    <w:rsid w:val="7CCF54FA"/>
    <w:rsid w:val="7CD3076E"/>
    <w:rsid w:val="7CDD742C"/>
    <w:rsid w:val="7D2E363F"/>
    <w:rsid w:val="7D3F26F0"/>
    <w:rsid w:val="7D5709E4"/>
    <w:rsid w:val="7D686752"/>
    <w:rsid w:val="7D8D3D37"/>
    <w:rsid w:val="7DB03F5E"/>
    <w:rsid w:val="7DE46E5E"/>
    <w:rsid w:val="7E275A02"/>
    <w:rsid w:val="7E2860C6"/>
    <w:rsid w:val="7E806807"/>
    <w:rsid w:val="7E9A34DB"/>
    <w:rsid w:val="7EAC2AA7"/>
    <w:rsid w:val="7ECA716A"/>
    <w:rsid w:val="7ED81FA8"/>
    <w:rsid w:val="7EEE0056"/>
    <w:rsid w:val="7F2117C8"/>
    <w:rsid w:val="7F843A0F"/>
    <w:rsid w:val="7FE0148F"/>
    <w:rsid w:val="7FFC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Plain Text"/>
    <w:basedOn w:val="1"/>
    <w:link w:val="28"/>
    <w:qFormat/>
    <w:uiPriority w:val="0"/>
    <w:rPr>
      <w:rFonts w:ascii="宋体" w:hAnsi="Courier New" w:eastAsia="宋体" w:cs="Courier New"/>
      <w:szCs w:val="21"/>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1"/>
    <w:semiHidden/>
    <w:unhideWhenUsed/>
    <w:qFormat/>
    <w:uiPriority w:val="99"/>
    <w:rPr>
      <w:b/>
      <w:bCs/>
    </w:r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paragraph" w:customStyle="1" w:styleId="15">
    <w:name w:val="段"/>
    <w:link w:val="17"/>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6">
    <w:name w:val="一级条标题"/>
    <w:next w:val="15"/>
    <w:link w:val="23"/>
    <w:qFormat/>
    <w:uiPriority w:val="0"/>
    <w:pPr>
      <w:tabs>
        <w:tab w:val="left" w:pos="360"/>
      </w:tabs>
      <w:outlineLvl w:val="2"/>
    </w:pPr>
    <w:rPr>
      <w:rFonts w:eastAsia="黑体" w:asciiTheme="minorHAnsi" w:hAnsiTheme="minorHAnsi" w:cstheme="minorBidi"/>
      <w:kern w:val="2"/>
      <w:sz w:val="21"/>
      <w:szCs w:val="22"/>
      <w:lang w:val="en-US" w:eastAsia="zh-CN" w:bidi="ar-SA"/>
    </w:rPr>
  </w:style>
  <w:style w:type="character" w:customStyle="1" w:styleId="17">
    <w:name w:val="段 Char"/>
    <w:link w:val="15"/>
    <w:qFormat/>
    <w:uiPriority w:val="0"/>
    <w:rPr>
      <w:rFonts w:ascii="宋体" w:hAnsi="Calibri" w:eastAsia="宋体" w:cs="Times New Roman"/>
      <w:kern w:val="0"/>
    </w:rPr>
  </w:style>
  <w:style w:type="character" w:customStyle="1" w:styleId="18">
    <w:name w:val="页眉 Char"/>
    <w:basedOn w:val="12"/>
    <w:link w:val="8"/>
    <w:qFormat/>
    <w:uiPriority w:val="99"/>
    <w:rPr>
      <w:sz w:val="18"/>
      <w:szCs w:val="18"/>
    </w:rPr>
  </w:style>
  <w:style w:type="character" w:customStyle="1" w:styleId="19">
    <w:name w:val="页脚 Char"/>
    <w:basedOn w:val="12"/>
    <w:link w:val="7"/>
    <w:qFormat/>
    <w:uiPriority w:val="99"/>
    <w:rPr>
      <w:sz w:val="18"/>
      <w:szCs w:val="18"/>
    </w:rPr>
  </w:style>
  <w:style w:type="character" w:customStyle="1" w:styleId="20">
    <w:name w:val="批注文字 Char"/>
    <w:basedOn w:val="12"/>
    <w:link w:val="4"/>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2"/>
    <w:link w:val="6"/>
    <w:semiHidden/>
    <w:qFormat/>
    <w:uiPriority w:val="99"/>
    <w:rPr>
      <w:sz w:val="18"/>
      <w:szCs w:val="18"/>
    </w:rPr>
  </w:style>
  <w:style w:type="character" w:customStyle="1" w:styleId="23">
    <w:name w:val="一级条标题 Char"/>
    <w:link w:val="16"/>
    <w:qFormat/>
    <w:uiPriority w:val="0"/>
    <w:rPr>
      <w:rFonts w:eastAsia="黑体"/>
    </w:rPr>
  </w:style>
  <w:style w:type="character" w:customStyle="1" w:styleId="24">
    <w:name w:val="标题 1 Char"/>
    <w:basedOn w:val="12"/>
    <w:link w:val="2"/>
    <w:qFormat/>
    <w:uiPriority w:val="9"/>
    <w:rPr>
      <w:rFonts w:ascii="宋体" w:hAnsi="宋体" w:eastAsia="宋体" w:cs="宋体"/>
      <w:b/>
      <w:bCs/>
      <w:kern w:val="36"/>
      <w:sz w:val="48"/>
      <w:szCs w:val="48"/>
    </w:rPr>
  </w:style>
  <w:style w:type="paragraph" w:customStyle="1" w:styleId="25">
    <w:name w:val="附录标识"/>
    <w:basedOn w:val="1"/>
    <w:qFormat/>
    <w:uiPriority w:val="0"/>
    <w:pPr>
      <w:widowControl/>
      <w:shd w:val="clear" w:color="FFFFFF" w:fill="FFFFFF"/>
      <w:tabs>
        <w:tab w:val="left" w:pos="720"/>
        <w:tab w:val="left" w:pos="6405"/>
      </w:tabs>
      <w:spacing w:before="640" w:after="200"/>
      <w:ind w:left="720" w:hanging="720"/>
      <w:jc w:val="center"/>
      <w:outlineLvl w:val="0"/>
    </w:pPr>
    <w:rPr>
      <w:rFonts w:ascii="黑体" w:hAnsi="Times New Roman" w:eastAsia="黑体" w:cs="Times New Roman"/>
      <w:kern w:val="0"/>
      <w:szCs w:val="20"/>
    </w:rPr>
  </w:style>
  <w:style w:type="character" w:customStyle="1" w:styleId="26">
    <w:name w:val="一级条标题 Char Char"/>
    <w:qFormat/>
    <w:uiPriority w:val="0"/>
    <w:rPr>
      <w:rFonts w:eastAsia="黑体"/>
      <w:kern w:val="2"/>
      <w:sz w:val="21"/>
      <w:lang w:val="en-US" w:eastAsia="zh-CN" w:bidi="ar-SA"/>
    </w:rPr>
  </w:style>
  <w:style w:type="paragraph" w:styleId="27">
    <w:name w:val="List Paragraph"/>
    <w:basedOn w:val="1"/>
    <w:qFormat/>
    <w:uiPriority w:val="34"/>
    <w:pPr>
      <w:ind w:firstLine="420" w:firstLineChars="200"/>
    </w:pPr>
  </w:style>
  <w:style w:type="character" w:customStyle="1" w:styleId="28">
    <w:name w:val="纯文本 Char"/>
    <w:basedOn w:val="12"/>
    <w:link w:val="5"/>
    <w:qFormat/>
    <w:uiPriority w:val="0"/>
    <w:rPr>
      <w:rFonts w:ascii="宋体" w:hAnsi="Courier New" w:eastAsia="宋体" w:cs="Courier New"/>
      <w:szCs w:val="21"/>
    </w:rPr>
  </w:style>
  <w:style w:type="character" w:customStyle="1" w:styleId="29">
    <w:name w:val="标题 2 Char"/>
    <w:basedOn w:val="1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EDD8A-A29E-45DB-A14E-CE197AFC71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3207</Words>
  <Characters>18285</Characters>
  <Lines>152</Lines>
  <Paragraphs>42</Paragraphs>
  <TotalTime>2</TotalTime>
  <ScaleCrop>false</ScaleCrop>
  <LinksUpToDate>false</LinksUpToDate>
  <CharactersWithSpaces>21450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2019-12-31T07:59:00Z</dcterms:created>
  <dc:creator>Jiangcy</dc:creator>
  <cp:lastModifiedBy>玲俐</cp:lastModifiedBy>
  <cp:lastPrinted>2019-12-22T02:29:00Z</cp:lastPrinted>
  <dcterms:modified xsi:type="dcterms:W3CDTF">2021-04-27T06:20:34Z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924B7373BA1F44759CA9DF48482EFE79</vt:lpwstr>
  </property>
</Properties>
</file>