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大型游乐设施安全监察规定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ascii="楷体_GB2312" w:hAnsi="宋体" w:eastAsia="楷体_GB2312" w:cs="楷体_GB2312"/>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（2013年8月15日国家质量监督检验检疫总局令第154号公布，根据2021年4月2日《国家市场监督管理总局关于废止和修改部分规章的决定》修改）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第一条 为了加强大型游乐设施安全监察工作，防止和减少事故，保障人身和财产安全，根据《中华人民共和国特种设备安全法》、《特种设备安全监察条例》，制定本规定。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第二条 大型游乐设施的设计、制造、安装、改造、修理、使用、检验、检测及其监督检查，应当遵守本规定。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第三条 国家市场监督管理总局负责全国大型游乐设施安全监察工作的综合管理，县级以上地方市场监督管理部门负责本行政区域内大型游乐设施安全监察工作。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第四条 从事大型游乐设施设计文件鉴定、型式试验、监督检验、定期检验的特种设备检验机构，应当依法经核准，方可从事相应的活动，并对其鉴定结论、检验结果负责。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第五条 大型游乐设施制造、安装、改造、修理单位应当依法取得许可后方可从事相应的活动，并对其制造、安装、改造、修理的大型游乐设施的安全性能负责。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大型游乐设施运营使用单位对使用的大型游乐设施安全负责。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第六条 鼓励推行大型游乐设施相关责任保险制度，提高事故应急处置和赔付能力。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第二章　大型游乐设施设计、制造、安装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第七条 制造单位应当对大型游乐设施的设计进行安全评价，提出安全风险防控措施。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对首次使用的新技术，制造单位应当验证其安全性能。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第八条 制造单位应当明示大型游乐设施整机、主要受力部件的设计使用期限。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对在整机设计使用期限内需要检验、检测或更换的部件，应当设计为可拆卸结构；对不能设计为可拆卸结构的部件，其设计使用期限不得低于整机设计使用期限。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第九条 大型游乐设施设计完成后，制造单位应当依法向特种设备检验机构申请设计文件鉴定。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特种设备检验机构应当按照安全技术规范的要求进行设计文件鉴定。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第十条 制造单位应当按照设计文件、标准、安全技术规范等要求进行制造。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制造单位委托加工零部件或者外购零部件的，应当按照其质量体系的要求，加强质量控制并依法承担责任。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第十一条 按照安全技术规范的要求，应当进行型式试验的大型游乐设施或者试制大型游乐设施新产品，制造单位应当依法向特种设备检验机构申请进行型式试验。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在申请型式试验之前，制造单位应当对试制的大型游乐设施新产品制定试验方案，进行安全性能试验和测试。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第十二条 大型游乐设施出厂时，应当附有主要受力部件质量合格证明、设计文件鉴定报告、安装及使用维护说明书等文件。移动式大型游乐设施还应当附有拆装说明书。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第十三条 大型游乐设施使用维护说明书应当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第十四条 安装单位在安装施工前，应当确认场地、设备基础、预埋件等土建工程符合土建工程质量监督管理要求。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第十五条 安装单位应当在施工前将拟进行的大型游乐设施安装情况书面告知直辖市或者设区的市的市场监督管理部门，告知后即可施工。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移动式大型游乐设施重新安装的，安装单位应当在施工前按照规定告知直辖市或者设区的市的市场监督管理部门。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第十六条 安装单位应当落实质量管理体系和管理制度，严格按照设计文件、标准、安全技术规范、施工方案等进行作业，加强现场施工质量管理。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大型游乐设施安装施工现场的作业人员应当满足施工要求。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第十七条 大型游乐设施的安装过程应当按照安全技术规范规定的范围、项目和要求，由特种设备检验机构在企业自检的基础上进行安装监督检验；未经安装监督检验合格的不得交付使用；运营使用单位不得擅自使用未经安装监督检验合格的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第十八条 大型游乐设施安装竣工后，安装单位应当在大型游乐设施明显部位装设符合安全技术规范要求的铭牌。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安装单位应当在验收后30日内将出厂随机文件、型式试验合格证明、安装监督检验和无损检测报告，以及经制造单位确认的安装质量证明、产品质量合格证明、调试及试运行记录、自检报告等安装技术资料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第三章　大型游乐设施使用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第十九条 大型游乐设施在投入使用前或者投入使用后30日内，运营使用单位应当向直辖市或者设区的市的市场监督管理部门登记。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移动式大型游乐设施在每次重新安装投入使用前或者投入使用后30日内，运营使用单位应当向直辖市或者设区的市的市场监督管理部门登记；移动式大型游乐设施拆卸后，应当在原使用登记部门办理注销手续。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运营使用单位应当将登记标志置于大型游乐设施进出口处等显著位置。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第二十条 运营使用单位应当在</w:t>
      </w:r>
      <w:bookmarkStart w:id="0" w:name="_GoBack"/>
      <w:r>
        <w:rPr>
          <w:rFonts w:hint="eastAsia" w:ascii="宋体" w:hAnsi="宋体" w:eastAsia="宋体" w:cs="宋体"/>
          <w:i w:val="0"/>
          <w:iCs w:val="0"/>
          <w:caps w:val="0"/>
          <w:color w:val="333333"/>
          <w:spacing w:val="0"/>
          <w:kern w:val="0"/>
          <w:sz w:val="28"/>
          <w:szCs w:val="28"/>
          <w:shd w:val="clear" w:fill="FFFFFF"/>
          <w:lang w:val="en-US" w:eastAsia="zh-CN" w:bidi="ar"/>
        </w:rPr>
        <w:t>大型游乐设施安装监督检验完成后1年内，向特种设备检验机构提出首次定期检验申请</w:t>
      </w:r>
      <w:bookmarkEnd w:id="0"/>
      <w:r>
        <w:rPr>
          <w:rFonts w:hint="eastAsia" w:ascii="宋体" w:hAnsi="宋体" w:eastAsia="宋体" w:cs="宋体"/>
          <w:i w:val="0"/>
          <w:iCs w:val="0"/>
          <w:caps w:val="0"/>
          <w:color w:val="333333"/>
          <w:spacing w:val="0"/>
          <w:kern w:val="0"/>
          <w:sz w:val="28"/>
          <w:szCs w:val="28"/>
          <w:shd w:val="clear" w:fill="FFFFFF"/>
          <w:lang w:val="en-US" w:eastAsia="zh-CN" w:bidi="ar"/>
        </w:rPr>
        <w:t>；在大型游乐设施定期检验周期届满1个月前，运营使用单位应当向特种设备检验机构提出定期检验要求。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特种设备检验机构应当按照安全技术规范的要求进行定期检验。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第二十一条 运营使用单位应当建立健全安全管理制度。安全管理制度应当包括以下主要内容：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（一）技术档案管理制度；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（三）日常安全检查制度；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（四）维护保养制度；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（五）定期报检制度；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（六）作业和服务人员守则；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（七）作业人员及相关运营服务人员安全培训考核制度；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（八）应急救援演练制度；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（九）意外事件和事故处理制度；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（十）其他。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第二十二条 运营使用单位应当对每台（套）大型游乐设施建立技术档案，依法管理和保存。技术档案应当包括以下主要内容：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（一）安装技术资料；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（二）监督检验报告；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（三）使用登记表；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（四）改造、修理技术文件；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（五）年度自行检查的记录；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（六）定期检验报告；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（七）应急救援演练记录；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（八）运行、维护保养、设备故障与事故处理记录；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（九）作业人员培训、考核和证书管理记录；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（十）法律法规规定的其他内容。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第二十三条 运营使用单位应当按照安全技术规范和使用维护说明书的要求，开展设备运营前试运行检查、日常检查和维护保养、定期安全检查并如实记录。对日常维护保养和试运行检查等自行检查中发现的异常情况，应当及时处理。在国家法定节假日或举行大型群众性活动前，运营使用单位应当对大型游乐设施进行全面检查维护，并加强日常检查和安全值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运营使用单位进行本单位设备的维护保养工作，应当按照安全技术规范要求配备具有相应资格的作业人员、必备工具和设备。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第二十四条 运营使用单位应当在大型游乐设施的入口处等显著位置张贴乘客须知、安全注意事项和警示标志，注明设备的运动特点、乘客范围、禁忌事宜等。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第二十五条 运营使用单位应当制定应急预案，建立应急救援指挥机构，配备相应的救援人员、营救设备和急救物品。对每台（套）大型游乐设施还应当制定专门的应急预案。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运营使用单位应当加强营救设备、急救物品的存放和管理，对救援人员定期进行专业培训，每年至少对每台（套）大型游乐设施组织1次应急救援演练。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运营使用单位可以根据当地实际情况，与其他运营使用单位或消防救援等专业应急救援力量建立应急联动机制，制定联合应急预案，并定期进行联合演练。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第二十六条 运营使用单位法定代表人或负责人对大型游乐设施的安全使用管理负责。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第二十七条 运营使用单位应当设置专门的安全管理机构并配备安全管理人员，或者配备专职的安全管理人员，并保证设备运营期间，至少有1名安全管理人员在岗。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运营使用单位、安全管理机构和安全管理人员，应当履行以下职责：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（一）负责检查本单位各项安全管理制度的落实情况；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（二）负责制定并落实设备维护保养及安全检查计划；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（三）负责设备使用状况日常检查，排查事故隐患，发现问题应当停止使用设备，并及时报告本单位有关负责人；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（四）负责组织设备自检，申报使用登记和定期检验；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（五）负责组织应急救援演习；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（六）负责组织本单位人员的安全教育和培训；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（七）负责技术档案的管理。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第二十八条 运营使用单位应当按照安全技术规范和使用维护说明书要求，配备满足安全运营要求的持证操作人员，并加强对服务人员岗前培训教育，使其掌握基本的应急技能，协助操作人员进行应急处置。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操作人员应当履行以下职责：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（一）严格执行操作规程和操作人员守则；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（二）每次运行前应当向乘客告知安全注意事项，对保护乘客的安全装置进行检查确认；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（三）运行时应当密切注意乘客动态及设备运行状态，发现不正常情况，应当立即采取有效措施，消除安全隐患；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（四）熟悉应急救援流程。发生故障或突发事件，应当立即停止运行或采取紧急措施保护乘客，并立即向现场安全管理人员报告；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（五）如实记录设备的运行情况。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第二十九条 大型游乐设施进行改造的，改造单位应当重新设计，按照本规定进行设计文件鉴定、型式试验和监督检验，并对改造后的设备质量和安全性能负责。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大型游乐设施改造单位应当在施工前将拟进行的大型游乐设施改造情况书面告知直辖市或者设区的市的市场监督管理部门，告知后即可施工。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大型游乐设施改造竣工后，施工单位应当装设符合安全技术规范要求的铭牌，并在验收后30日内将符合第十八条要求的技术资料移交运营使用单位存档。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第三十条 大型游乐设施的修理、重大修理应当按照安全技术规范和使用维护说明书要求进行。大型游乐设施修理单位应当在施工前将拟进行的大型游乐设施修理情况书面告知直辖市或者设区的市的市场监督管理部门，告知后即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重大修理过程，必须经特种设备检验机构按照安全技术规范的要求进行重大修理监督检验；未经重大修理监督检验合格的不得交付使用；运营使用单位不得擅自使用未经重大修理监督检验合格的大型游乐设施。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型游乐设施修理竣工后，施工单位应将有关大型游乐设施的自检报告等修理相关资料移交运营使用单位存档；大型游乐设施重大修理竣工后，施工单位应将有关大型游乐设施的自检报告、监督检验报告和无损检测报告等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第三十一条 大型游乐设施改造、重大修理施工现场作业人员应当满足施工要求，具有相应特种设备作业人员资格的人数应当符合安全技术规范的要求。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第三十二条 大型游乐设施发生事故的，运营使用单位应当立即停止使用，并按照有关规定及时向县级以上地方市场监督管理部门报告。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对因设计、制造、安装原因引发故障、事故，存在质量安全问题隐患的，制造、安装单位应当对同类型设备进行排查，消除隐患。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第三十三条 对超过整机设计使用期限仍有修理、改造价值可以继续使用的大型游乐设施，运营使用单位应当按照安全技术规范的要求通过检验或者安全评估，并办理使用登记证书变更。运营使用单位应当加强对允许继续使用的大型游乐设施的使用管理，采取加强检验、检测和维护保养等措施，加大全面自检频次，确保使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大型游乐设施主要受力部件超过设计使用期限要求，且检验或者安全评估后不符合安全使用条件的，应当及时进行更换。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第三十四条 运营使用单位租借场地开展大型游乐设施经营的，应当与场地提供单位签订安全管理协议，落实安全管理制度。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场地提供单位应当核实大型游乐设施运营使用单位满足相关法律法规以及本规定要求的运营使用条件。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第三十五条 市场监督管理部门依照《中华人民共和国特种设备安全法》、《特种设备安全监察条例》和本规定等有关要求，对大型游乐设施的生产、使用单位和检验、检测机构实施监督检查。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第三十六条 特种设备检验机构在开展检验前，应当告知负责使用登记的市场监督管理部门。检验完成后，应当将监督检验、定期检验报告向负责使用登记的市场监督管理部门备案。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检验人员应当按照安全技术规范要求向受检单位出具书面检验意见并报送负责使用登记的市场监督管理部门，对于现场不具备检验条件的，应当以书面形式向报检单位出具相关情况说明。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第三十七条 大型游乐设施事故的调查处理，按照法律法规的规定执行。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第三十八条 大型游乐设施制造、安装单位违反本规定，有下列情形之一的，予以警告，处1万元以上3万元以下罚款：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（一）未对设计进行安全评价，提出安全风险防控措施的；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（二）未对设计中首次使用的新技术进行安全性能验证的；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（三）未明确整机、主要受力部件的设计使用期限的；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（四）未在大型游乐设施明显部位装设符合有关安全技术规范要求的铭牌的；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（五）使用维护说明书等出厂文件内容不符合本规定要求的；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（六）对因设计、制造、安装原因，存在质量安全问题隐患的，未按照本规定要求进行排查处理的。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第三十九条 大型游乐设施改造单位违反本规定，未进行设计文件鉴定的，予以警告，处1万元以上3万元以下罚款。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第四十条 大型游乐设施运营使用单位违反本规定，有下列情形之一的，予以警告，处1万元以上3万元以下罚款：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（一）设备运营期间，无安全管理人员在岗的；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（二）配备的持证操作人员未能满足安全运营要求的；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（三）未及时更换超过设计使用期限要求且检验或者安全评估后不符合安全使用条件的主要受力部件的；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（四）租借场地开展大型游乐设施经营的，未与场地提供单位签订安全管理协议，落实安全管理制度的；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（五）未按照安全技术规范和使用维护说明书等要求进行重大修理的。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第四十一条 违反本规定安装、改造和重大修理施工现场的作业人员数量不能满足施工要求或具有相应特种设备作业人员资格的人数不符合安全技术规范要求的，予以警告，处5千元以上1万元以下罚款。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第四十二条 违反本规定要求，构成《中华人民共和国特种设备安全法》、《特种设备安全监察条例》等规定的违法行为的，按照其规定实施处罚。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第四十三条 本规定所称大型游乐设施，是指《特种设备安全监察条例》规定的用于经营目的，承载乘客游乐的设施，其范围规定为设计最大运行线速度大于或者等于2m/s，或者运行高度距地面高于或者等于2m的载人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移动式大型游乐设施，是指无专用土建基础，方便拆装、移动和运输的大型游乐设施。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第四十四条 本规定下列用语的含义是：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运营使用单位，是指从事大型游乐设施日常经营管理的，向市场监督管理部门办理使用登记的企业、个体工商户。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改造，是指通过改变主要受力部件、主要材料、设备运动形式、重要几何尺寸或主要控制系统等，致使大型游乐设施的主体结构、性能参数发生变化的活动。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维护保养，是指通过设备部件拆解，进行检查、系统调试、更换易损件，但不改变大型游乐设施的主体结构、性能参数的活动，以及日常检查工作中紧固连接件、设备除尘、设备润滑等活动。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修理，是指通过设备部件拆解，进行更换或维修主要受力部件，但不改变大型游乐设施的主体结构、性能参数的活动。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重大修理，是指通过设备整体拆解，进行检查、更换或维修主要受力部件、主要控制系统或安全装置功能，但不改变大型游乐设施的主体结构、性能参数的活动。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第四十五条 本规定由国家市场监督管理总局负责解释。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第四十六条 本规定自2014年1月1日起施行。原国家质量技术监督局2000年6月29日发布的《特种设备质量监督与安全监察规定》中关于大型游乐设施的规定与本规定不一致的，以本规定为准。</w:t>
      </w:r>
    </w:p>
    <w:p>
      <w:pPr>
        <w:rPr>
          <w:rFonts w:hint="eastAsia"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B6F44"/>
    <w:rsid w:val="0B470233"/>
    <w:rsid w:val="1DBB6F44"/>
    <w:rsid w:val="24B93A4B"/>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5936</Words>
  <Characters>5960</Characters>
  <Lines>0</Lines>
  <Paragraphs>0</Paragraphs>
  <TotalTime>22</TotalTime>
  <ScaleCrop>false</ScaleCrop>
  <LinksUpToDate>false</LinksUpToDate>
  <CharactersWithSpaces>6017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2021-04-23T06:46:00Z</dcterms:created>
  <dc:creator>玲俐</dc:creator>
  <cp:lastModifiedBy>monkeyhappy</cp:lastModifiedBy>
  <dcterms:modified xsi:type="dcterms:W3CDTF">2022-04-20T08:46:44Z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9A966D73A7EB43E19463622C8427AF0C</vt:lpwstr>
  </property>
</Properties>
</file>