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工矿用地土壤环境管理办法（试行）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《工矿用地土壤环境管理办法（试行）》已于2018年4月12日由生态环境部部务会议审议通过，现予公布，自2018年8月1日起施行。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　　生态环境部部长 李干杰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2018年5月3日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工矿用地土壤环境管理办法（试行）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加强工矿用地土壤和地下水环境保护监督管理，防治工矿用地土壤和地下水污染，根据《中华人民共和国环境保护法》《中华人民共和国水污染防治法》等法律法规和国务院印发的《土壤污染防治行动计划》，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从事工业、矿业生产经营活动的土壤环境污染重点监管单位用地土壤和地下水的环境现状调查、环境影响评价、污染防治设施的建设和运行管理、污染隐患排查、环境监测和风险评估、污染应急、风险管控和治理与修复等活动，以及相关环境保护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矿产开采作业区域用地，固体废物集中贮存、填埋场所用地，不适用本办法。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土壤环境污染重点监管单位（以下简称重点单位）包括：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（一）有色金属冶炼、石油加工、化工、焦化、电镀、制革等行业中应当纳入排污许可重点管理的企业；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（二）有色金属矿采选、石油开采行业规模以上企业；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（三）其他根据有关规定纳入土壤环境污染重点监管单位名录的企事业单位。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重点单位以外的企事业单位和其他生产经营者生产经营活动涉及有毒有害物质的，其用地土壤和地下水环境保护相关活动及相关环境保护监督管理，可以参照本办法执行。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生态环境部对全国工矿用地土壤和地下水环境保护工作实施统一监督管理。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县级以上地方生态环境主管部门负责本行政区域内的工矿用地土壤和地下水环境保护相关活动的监督管理。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设区的市级以上地方生态环境主管部门应当制定公布本行政区域的土壤环境污染重点监管单位名单，并动态更新。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工矿企业是工矿用地土壤和地下水环境保护的责任主体，应当按照本办法的规定开展相关活动。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造成工矿用地土壤和地下水污染的企业应当承担治理与修复的主体责任。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第二章 污染防控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重点单位新、改、扩建项目，应当在开展建设项目环境影响评价时，按照国家有关技术规范开展工矿用地土壤和地下水环境现状调查，编制调查报告，并按规定上报环境影响评价基础数据库。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重点单位应当将前款规定的调查报告主要内容通过其网站等便于公众知晓的方式向社会公开。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重点单位新、改、扩建项目用地应当符合国家或者地方有关建设用地土壤污染风险管控标准。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重点单位现有地下储罐储存有毒有害物质的，应当在本办法公布后一年之内，将地下储罐的信息报所在地设区的市级生态环境主管部门备案。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重点单位新、改、扩建项目地下储罐储存有毒有害物质的，应当在项目投入生产或者使用之前，将地下储罐的信息报所在地设区的市级生态环境主管部门备案。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地下储罐的信息包括地下储罐的使用年限、类型、规格、位置和使用情况等。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重点单位应当建立土壤和地下水污染隐患排查治理制度，定期对重点区域、重点设施开展隐患排查。发现污染隐患的，应当制定整改方案，及时采取技术、管理措施消除隐患。隐患排查、治理情况应当如实记录并建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重点区域包括涉及有毒有害物质的生产区，原材料及固体废物的堆存区、储放区和转运区等；重点设施包括涉及有毒有害物质的地下储罐、地下管线，以及污染治理设施等。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重点单位应当按照相关技术规范要求，自行或者委托第三方定期开展土壤和地下水监测，重点监测存在污染隐患的区域和设施周边的土壤、地下水，并按照规定公开相关信息。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重点单位拆除涉及有毒有害物质的生产设施设备、构筑物和污染治理设施的，应当按照有关规定，事先制定企业拆除活动污染防治方案，并在拆除活动前十五个工作日报所在地县级生态环境、工业和信息化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企业拆除活动污染防治方案应当包括被拆除生产设施设备、构筑物和污染治理设施的基本情况、拆除活动全过程土壤污染防治的技术要求、针对周边环境的污染防治要求等内容。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重点单位拆除活动应当严格按照有关规定实施残留物料和污染物、污染设备和设施的安全处理处置，并做好拆除活动相关记录，防范拆除活动污染土壤和地下水。拆除活动相关记录应当长期保存。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重点单位突发环境事件应急预案应当包括防止土壤和地下水污染相关内容。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重点单位终止生产经营活动前，应当参照污染地块土壤环境管理有关规定，开展土壤和地下水环境初步调查，编制调查报告，及时上传全国污染地块土壤环境管理信息系统。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重点单位应当将前款规定的调查报告主要内容通过其网站等便于公众知晓的方式向社会公开。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壤和地下水环境初步调查发现该重点单位用地污染物含量超过国家或者地方有关建设用地土壤污染风险管控标准的，应当参照污染地块土壤环境管理有关规定开展详细调查、风险评估、风险管控、治理与修复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县级以上生态环境主管部门有权对本行政区域内的重点单位进行现场检查。被检查单位应当予以配合，如实反映情况，提供必要的资料。实施现场检查的部门、机构及其工作人员应当为被检查单位保守商业秘密。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县级以上生态环境主管部门对重点单位进行监督检查时，有权采取下列措施：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（一）进入被检查单位进行现场核查或者监测；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（二）查阅、复制相关文件、记录以及其他有关资料；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（三）要求被检查单位提交有关情况说明。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重点单位未按本办法开展工矿用地土壤和地下水环境保护相关活动或者弄虚作假的，由县级以上生态环境主管部门将该企业失信情况记入其环境信用记录，并通过全国信用信息共享平台、国家企业信用信息公示系统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第四章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第二十条</w:t>
      </w:r>
      <w:r>
        <w:rPr>
          <w:rFonts w:hint="eastAsia" w:ascii="微软雅黑" w:hAnsi="微软雅黑" w:eastAsia="微软雅黑" w:cs="微软雅黑"/>
          <w:i w:val="0"/>
          <w:iCs w:val="0"/>
          <w:caps w:val="0"/>
          <w:color w:val="000000"/>
          <w:spacing w:val="0"/>
          <w:sz w:val="27"/>
          <w:szCs w:val="27"/>
          <w:bdr w:val="none" w:color="auto" w:sz="0" w:space="0"/>
        </w:rPr>
        <w:t> 本办法所称的下列用语的含义：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（一）矿产开采作业区域用地，指露天采矿区用地、排土场等与矿业开采作业直接相关的用地。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（二）有毒有害物质，是指下列物质：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1.列入《中华人民共和国水污染防治法》规定的有毒有害水污染物名录的污染物；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2.列入《中华人民共和国大气污染防治法》规定的有毒有害大气污染物名录的污染物；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3.《中华人民共和国固体废物污染环境防治法》规定的危险废物；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4.国家和地方建设用地土壤污染风险管控标准管控的污染物；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5.列入优先控制化学品名录内的物质；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6.其他根据国家法律法规有关规定应当纳入有毒有害物质管理的物质。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（三）土壤和地下水环境现状调查，指对重点单位新、改、扩建项目用地的土壤和地下水环境质量进行的调查评估，其主要调查内容包括土壤和地下水中主要污染物的含量等。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（四）土壤和地下水污染隐患，指相关设施设备因设计、建设、运行管理等不完善，而导致相关有毒有害物质泄漏、渗漏、溢出等污染土壤和地下水的隐患。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（五）土壤和地下水污染迹象，指通过现场检查和隐患排查发现有毒有害物质泄漏或者疑似泄漏，或者通过土壤和地下水环境监测发现土壤或者地下水中污染物含量升高的现象。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本办法自2018年8月1日起施行。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93F32"/>
    <w:rsid w:val="0E79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2021-12-30T02:10:00Z</dcterms:created>
  <dc:creator>monkeyhappy</dc:creator>
  <cp:lastModifiedBy>monkeyhappy</cp:lastModifiedBy>
  <dcterms:modified xsi:type="dcterms:W3CDTF">2021-12-30T02:10:50Z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10616BE84B5B419BA7843F72A78BB5CD</vt:lpwstr>
  </property>
</Properties>
</file>