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20" w:lineRule="atLeast"/>
        <w:ind w:left="0" w:right="0" w:firstLine="0"/>
        <w:jc w:val="center"/>
        <w:rPr>
          <w:rFonts w:ascii="微软雅黑" w:hAnsi="微软雅黑" w:eastAsia="微软雅黑" w:cs="微软雅黑"/>
          <w:i w:val="0"/>
          <w:iCs w:val="0"/>
          <w:caps w:val="0"/>
          <w:color w:val="C60002"/>
          <w:spacing w:val="0"/>
          <w:sz w:val="36"/>
          <w:szCs w:val="36"/>
        </w:rPr>
      </w:pPr>
      <w:r>
        <w:rPr>
          <w:rFonts w:hint="eastAsia" w:ascii="微软雅黑" w:hAnsi="微软雅黑" w:eastAsia="微软雅黑" w:cs="微软雅黑"/>
          <w:i w:val="0"/>
          <w:iCs w:val="0"/>
          <w:caps w:val="0"/>
          <w:color w:val="C60002"/>
          <w:spacing w:val="0"/>
          <w:sz w:val="36"/>
          <w:szCs w:val="36"/>
          <w:bdr w:val="none" w:color="auto" w:sz="0" w:space="0"/>
        </w:rPr>
        <w:t>关于“未验先投”违法行为行政处罚新旧法律规范衔接适用问题的意见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Theme="majorEastAsia" w:hAnsiTheme="majorEastAsia" w:eastAsiaTheme="majorEastAsia" w:cstheme="majorEastAsia"/>
          <w:i w:val="0"/>
          <w:iCs w:val="0"/>
          <w:caps w:val="0"/>
          <w:color w:val="000000"/>
          <w:spacing w:val="0"/>
          <w:sz w:val="24"/>
          <w:szCs w:val="24"/>
        </w:rPr>
      </w:pPr>
      <w:r>
        <w:rPr>
          <w:rFonts w:hint="eastAsia" w:asciiTheme="majorEastAsia" w:hAnsiTheme="majorEastAsia" w:eastAsiaTheme="majorEastAsia" w:cstheme="majorEastAsia"/>
          <w:i w:val="0"/>
          <w:iCs w:val="0"/>
          <w:caps w:val="0"/>
          <w:color w:val="000000"/>
          <w:spacing w:val="0"/>
          <w:sz w:val="24"/>
          <w:szCs w:val="24"/>
          <w:bdr w:val="none" w:color="auto" w:sz="0" w:space="0"/>
          <w:shd w:val="clear" w:fill="FFFFFF"/>
        </w:rPr>
        <w:t>各省、自治区、直辖市生态环境厅（局），新疆生产建设兵团生态环境局，计划单列市生态环境局: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Theme="majorEastAsia" w:hAnsiTheme="majorEastAsia" w:eastAsiaTheme="majorEastAsia" w:cstheme="majorEastAsia"/>
          <w:i w:val="0"/>
          <w:iCs w:val="0"/>
          <w:caps w:val="0"/>
          <w:color w:val="000000"/>
          <w:spacing w:val="0"/>
          <w:sz w:val="24"/>
          <w:szCs w:val="24"/>
        </w:rPr>
      </w:pPr>
      <w:r>
        <w:rPr>
          <w:rFonts w:hint="eastAsia" w:asciiTheme="majorEastAsia" w:hAnsiTheme="majorEastAsia" w:eastAsiaTheme="majorEastAsia" w:cstheme="majorEastAsia"/>
          <w:i w:val="0"/>
          <w:iCs w:val="0"/>
          <w:caps w:val="0"/>
          <w:color w:val="000000"/>
          <w:spacing w:val="0"/>
          <w:sz w:val="24"/>
          <w:szCs w:val="24"/>
          <w:bdr w:val="none" w:color="auto" w:sz="0" w:space="0"/>
          <w:shd w:val="clear" w:fill="FFFFFF"/>
        </w:rPr>
        <w:t>　　2017年修订的《</w:t>
      </w:r>
      <w:bookmarkStart w:id="0" w:name="_GoBack"/>
      <w:bookmarkEnd w:id="0"/>
      <w:r>
        <w:rPr>
          <w:rFonts w:hint="eastAsia" w:asciiTheme="majorEastAsia" w:hAnsiTheme="majorEastAsia" w:eastAsiaTheme="majorEastAsia" w:cstheme="majorEastAsia"/>
          <w:i w:val="0"/>
          <w:iCs w:val="0"/>
          <w:caps w:val="0"/>
          <w:color w:val="000000"/>
          <w:spacing w:val="0"/>
          <w:sz w:val="24"/>
          <w:szCs w:val="24"/>
          <w:bdr w:val="none" w:color="auto" w:sz="0" w:space="0"/>
          <w:shd w:val="clear" w:fill="FFFFFF"/>
        </w:rPr>
        <w:t>建设项目环境保护管理条例》（自2017年10月1日起施行，以下简称新条例）施行以来，关于需要配套建设的环境保护设施未建成、未经验收或者验收不合格，建设项目即投入生产或者使用（以下简称“未验先投”）违法行为的处罚，在新旧条例过渡期间如何适用法律，实践中存在较大争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Theme="majorEastAsia" w:hAnsiTheme="majorEastAsia" w:eastAsiaTheme="majorEastAsia" w:cstheme="majorEastAsia"/>
          <w:i w:val="0"/>
          <w:iCs w:val="0"/>
          <w:caps w:val="0"/>
          <w:color w:val="000000"/>
          <w:spacing w:val="0"/>
          <w:sz w:val="24"/>
          <w:szCs w:val="24"/>
        </w:rPr>
      </w:pPr>
      <w:r>
        <w:rPr>
          <w:rFonts w:hint="eastAsia" w:asciiTheme="majorEastAsia" w:hAnsiTheme="majorEastAsia" w:eastAsiaTheme="majorEastAsia" w:cstheme="majorEastAsia"/>
          <w:i w:val="0"/>
          <w:iCs w:val="0"/>
          <w:caps w:val="0"/>
          <w:color w:val="000000"/>
          <w:spacing w:val="0"/>
          <w:sz w:val="24"/>
          <w:szCs w:val="24"/>
          <w:bdr w:val="none" w:color="auto" w:sz="0" w:space="0"/>
          <w:shd w:val="clear" w:fill="FFFFFF"/>
        </w:rPr>
        <w:t>　　根据最高人民法院于2004年5月18日印发的《关于审理行政案件适用法律规范问题的座谈会纪要》（法［2004］96号，以下简称《纪要》）有关新旧法律规范衔接适用基本规则的规定，结合生态环境执法实践，并经征求最高人民法院和司法部意见，现就新旧条例过渡期间“未验先投”违法行为行政处罚有关法律适用问题，提出以下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Theme="majorEastAsia" w:hAnsiTheme="majorEastAsia" w:eastAsiaTheme="majorEastAsia" w:cstheme="majorEastAsia"/>
          <w:i w:val="0"/>
          <w:iCs w:val="0"/>
          <w:caps w:val="0"/>
          <w:color w:val="000000"/>
          <w:spacing w:val="0"/>
          <w:sz w:val="24"/>
          <w:szCs w:val="24"/>
        </w:rPr>
      </w:pPr>
      <w:r>
        <w:rPr>
          <w:rFonts w:hint="eastAsia" w:asciiTheme="majorEastAsia" w:hAnsiTheme="majorEastAsia" w:eastAsiaTheme="majorEastAsia" w:cstheme="majorEastAsia"/>
          <w:i w:val="0"/>
          <w:iCs w:val="0"/>
          <w:caps w:val="0"/>
          <w:color w:val="000000"/>
          <w:spacing w:val="0"/>
          <w:sz w:val="24"/>
          <w:szCs w:val="24"/>
          <w:bdr w:val="none" w:color="auto" w:sz="0" w:space="0"/>
          <w:shd w:val="clear" w:fill="FFFFFF"/>
        </w:rPr>
        <w:t>　　一、有关法规规定和新旧法律规范衔接适用基本规则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Theme="majorEastAsia" w:hAnsiTheme="majorEastAsia" w:eastAsiaTheme="majorEastAsia" w:cstheme="majorEastAsia"/>
          <w:i w:val="0"/>
          <w:iCs w:val="0"/>
          <w:caps w:val="0"/>
          <w:color w:val="000000"/>
          <w:spacing w:val="0"/>
          <w:sz w:val="24"/>
          <w:szCs w:val="24"/>
        </w:rPr>
      </w:pPr>
      <w:r>
        <w:rPr>
          <w:rFonts w:hint="eastAsia" w:asciiTheme="majorEastAsia" w:hAnsiTheme="majorEastAsia" w:eastAsiaTheme="majorEastAsia" w:cstheme="majorEastAsia"/>
          <w:i w:val="0"/>
          <w:iCs w:val="0"/>
          <w:caps w:val="0"/>
          <w:color w:val="000000"/>
          <w:spacing w:val="0"/>
          <w:sz w:val="24"/>
          <w:szCs w:val="24"/>
          <w:bdr w:val="none" w:color="auto" w:sz="0" w:space="0"/>
          <w:shd w:val="clear" w:fill="FFFFFF"/>
        </w:rPr>
        <w:t>　　（一）有关法规规定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Theme="majorEastAsia" w:hAnsiTheme="majorEastAsia" w:eastAsiaTheme="majorEastAsia" w:cstheme="majorEastAsia"/>
          <w:i w:val="0"/>
          <w:iCs w:val="0"/>
          <w:caps w:val="0"/>
          <w:color w:val="000000"/>
          <w:spacing w:val="0"/>
          <w:sz w:val="24"/>
          <w:szCs w:val="24"/>
        </w:rPr>
      </w:pPr>
      <w:r>
        <w:rPr>
          <w:rFonts w:hint="eastAsia" w:asciiTheme="majorEastAsia" w:hAnsiTheme="majorEastAsia" w:eastAsiaTheme="majorEastAsia" w:cstheme="majorEastAsia"/>
          <w:i w:val="0"/>
          <w:iCs w:val="0"/>
          <w:caps w:val="0"/>
          <w:color w:val="000000"/>
          <w:spacing w:val="0"/>
          <w:sz w:val="24"/>
          <w:szCs w:val="24"/>
          <w:bdr w:val="none" w:color="auto" w:sz="0" w:space="0"/>
          <w:shd w:val="clear" w:fill="FFFFFF"/>
        </w:rPr>
        <w:t>　　新条例第二十三条第一款规定：“违反本条例规定，需要配套建设的环境保护设施未建成、未经验收或者验收不合格，建设项目即投入生产或者使用，或者在环境保护设施验收中弄虚作假的，由县级以上环境保护行政主管部门责令限期改正，处20万元以上100万元以下的罚款；逾期不改正的，处100万元以上200万元以下的罚款；对直接负责的主管人员和其他责任人员，处5万元以上20万元以下的罚款；造成重大环境污染或者生态破坏的，责令停止生产或者使用，或者报经有批准权的人民政府批准，责令关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Theme="majorEastAsia" w:hAnsiTheme="majorEastAsia" w:eastAsiaTheme="majorEastAsia" w:cstheme="majorEastAsia"/>
          <w:i w:val="0"/>
          <w:iCs w:val="0"/>
          <w:caps w:val="0"/>
          <w:color w:val="000000"/>
          <w:spacing w:val="0"/>
          <w:sz w:val="24"/>
          <w:szCs w:val="24"/>
        </w:rPr>
      </w:pPr>
      <w:r>
        <w:rPr>
          <w:rFonts w:hint="eastAsia" w:asciiTheme="majorEastAsia" w:hAnsiTheme="majorEastAsia" w:eastAsiaTheme="majorEastAsia" w:cstheme="majorEastAsia"/>
          <w:i w:val="0"/>
          <w:iCs w:val="0"/>
          <w:caps w:val="0"/>
          <w:color w:val="000000"/>
          <w:spacing w:val="0"/>
          <w:sz w:val="24"/>
          <w:szCs w:val="24"/>
          <w:bdr w:val="none" w:color="auto" w:sz="0" w:space="0"/>
          <w:shd w:val="clear" w:fill="FFFFFF"/>
        </w:rPr>
        <w:t>　　修订前的《建设项目环境保护管理条例》（自1998年11月29日起施行，2017年10月1日废止，以下简称旧条例）第二十八条规定：“违反本条例规定，建设项目需要配套建设的环境保护设施未建成、未经验收或者经验收不合格，主体工程正式投入生产或者使用的，由审批该建设项目环境影响报告书、环境影响报告表或者环境影响登记表的环境保护行政主管部门责令停止生产或者使用，可以处10万元以下的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Theme="majorEastAsia" w:hAnsiTheme="majorEastAsia" w:eastAsiaTheme="majorEastAsia" w:cstheme="majorEastAsia"/>
          <w:i w:val="0"/>
          <w:iCs w:val="0"/>
          <w:caps w:val="0"/>
          <w:color w:val="000000"/>
          <w:spacing w:val="0"/>
          <w:sz w:val="24"/>
          <w:szCs w:val="24"/>
        </w:rPr>
      </w:pPr>
      <w:r>
        <w:rPr>
          <w:rFonts w:hint="eastAsia" w:asciiTheme="majorEastAsia" w:hAnsiTheme="majorEastAsia" w:eastAsiaTheme="majorEastAsia" w:cstheme="majorEastAsia"/>
          <w:i w:val="0"/>
          <w:iCs w:val="0"/>
          <w:caps w:val="0"/>
          <w:color w:val="000000"/>
          <w:spacing w:val="0"/>
          <w:sz w:val="24"/>
          <w:szCs w:val="24"/>
          <w:bdr w:val="none" w:color="auto" w:sz="0" w:space="0"/>
          <w:shd w:val="clear" w:fill="FFFFFF"/>
        </w:rPr>
        <w:t>　　（二）新旧法律规范衔接适用基本规则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Theme="majorEastAsia" w:hAnsiTheme="majorEastAsia" w:eastAsiaTheme="majorEastAsia" w:cstheme="majorEastAsia"/>
          <w:i w:val="0"/>
          <w:iCs w:val="0"/>
          <w:caps w:val="0"/>
          <w:color w:val="000000"/>
          <w:spacing w:val="0"/>
          <w:sz w:val="24"/>
          <w:szCs w:val="24"/>
        </w:rPr>
      </w:pPr>
      <w:r>
        <w:rPr>
          <w:rFonts w:hint="eastAsia" w:asciiTheme="majorEastAsia" w:hAnsiTheme="majorEastAsia" w:eastAsiaTheme="majorEastAsia" w:cstheme="majorEastAsia"/>
          <w:i w:val="0"/>
          <w:iCs w:val="0"/>
          <w:caps w:val="0"/>
          <w:color w:val="000000"/>
          <w:spacing w:val="0"/>
          <w:sz w:val="24"/>
          <w:szCs w:val="24"/>
          <w:bdr w:val="none" w:color="auto" w:sz="0" w:space="0"/>
          <w:shd w:val="clear" w:fill="FFFFFF"/>
        </w:rPr>
        <w:t>　　《纪要》明确提出：“根据行政审判中的普遍认识和做法，行政相对人的行为发生在新法施行以前，具体行政行为作出在新法施行以后，人民法院审查具体行政行为的合法性时，实体问题适用旧法规定，程序问题适用新法规定，但下列情形除外：(一)法律、法规或规章另有规定的；(二)适用新法对保护行政相对人的合法权益更为有利的；(三)按照具体行政行为的性质应当适用新法的实体规定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Theme="majorEastAsia" w:hAnsiTheme="majorEastAsia" w:eastAsiaTheme="majorEastAsia" w:cstheme="majorEastAsia"/>
          <w:i w:val="0"/>
          <w:iCs w:val="0"/>
          <w:caps w:val="0"/>
          <w:color w:val="000000"/>
          <w:spacing w:val="0"/>
          <w:sz w:val="24"/>
          <w:szCs w:val="24"/>
        </w:rPr>
      </w:pPr>
      <w:r>
        <w:rPr>
          <w:rFonts w:hint="eastAsia" w:asciiTheme="majorEastAsia" w:hAnsiTheme="majorEastAsia" w:eastAsiaTheme="majorEastAsia" w:cstheme="majorEastAsia"/>
          <w:i w:val="0"/>
          <w:iCs w:val="0"/>
          <w:caps w:val="0"/>
          <w:color w:val="000000"/>
          <w:spacing w:val="0"/>
          <w:sz w:val="24"/>
          <w:szCs w:val="24"/>
          <w:bdr w:val="none" w:color="auto" w:sz="0" w:space="0"/>
          <w:shd w:val="clear" w:fill="FFFFFF"/>
        </w:rPr>
        <w:t>　　二、“未验先投”违法行为发生在旧条例施行期间，一直连续或继续到新条例施行之后的，适用新条例进行处罚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Theme="majorEastAsia" w:hAnsiTheme="majorEastAsia" w:eastAsiaTheme="majorEastAsia" w:cstheme="majorEastAsia"/>
          <w:i w:val="0"/>
          <w:iCs w:val="0"/>
          <w:caps w:val="0"/>
          <w:color w:val="000000"/>
          <w:spacing w:val="0"/>
          <w:sz w:val="24"/>
          <w:szCs w:val="24"/>
        </w:rPr>
      </w:pPr>
      <w:r>
        <w:rPr>
          <w:rFonts w:hint="eastAsia" w:asciiTheme="majorEastAsia" w:hAnsiTheme="majorEastAsia" w:eastAsiaTheme="majorEastAsia" w:cstheme="majorEastAsia"/>
          <w:i w:val="0"/>
          <w:iCs w:val="0"/>
          <w:caps w:val="0"/>
          <w:color w:val="000000"/>
          <w:spacing w:val="0"/>
          <w:sz w:val="24"/>
          <w:szCs w:val="24"/>
          <w:bdr w:val="none" w:color="auto" w:sz="0" w:space="0"/>
          <w:shd w:val="clear" w:fill="FFFFFF"/>
        </w:rPr>
        <w:t>　　经征求最高人民法院意见，《纪要》中提到的“行政相对人的行为发生在新法施行之前”，是指行政相对人的行为终了之日发生在新法施行之前。如果行政相对人的违法行为一直持续到新法施行之后，则不属于“行政相对人的行为发生在新法施行之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Theme="majorEastAsia" w:hAnsiTheme="majorEastAsia" w:eastAsiaTheme="majorEastAsia" w:cstheme="majorEastAsia"/>
          <w:i w:val="0"/>
          <w:iCs w:val="0"/>
          <w:caps w:val="0"/>
          <w:color w:val="000000"/>
          <w:spacing w:val="0"/>
          <w:sz w:val="24"/>
          <w:szCs w:val="24"/>
        </w:rPr>
      </w:pPr>
      <w:r>
        <w:rPr>
          <w:rFonts w:hint="eastAsia" w:asciiTheme="majorEastAsia" w:hAnsiTheme="majorEastAsia" w:eastAsiaTheme="majorEastAsia" w:cstheme="majorEastAsia"/>
          <w:i w:val="0"/>
          <w:iCs w:val="0"/>
          <w:caps w:val="0"/>
          <w:color w:val="000000"/>
          <w:spacing w:val="0"/>
          <w:sz w:val="24"/>
          <w:szCs w:val="24"/>
          <w:bdr w:val="none" w:color="auto" w:sz="0" w:space="0"/>
          <w:shd w:val="clear" w:fill="FFFFFF"/>
        </w:rPr>
        <w:t>　　因此，“未验先投”违法行为发生在旧条例施行期间，一直连续或继续到新条例施行之后的，不属于《纪要》规定的“行政相对人的行为发生在新法施行以前”的情形，不存在新旧条例的选择适用问题，应当适用新条例作出行政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Theme="majorEastAsia" w:hAnsiTheme="majorEastAsia" w:eastAsiaTheme="majorEastAsia" w:cstheme="majorEastAsia"/>
          <w:i w:val="0"/>
          <w:iCs w:val="0"/>
          <w:caps w:val="0"/>
          <w:color w:val="000000"/>
          <w:spacing w:val="0"/>
          <w:sz w:val="24"/>
          <w:szCs w:val="24"/>
        </w:rPr>
      </w:pPr>
      <w:r>
        <w:rPr>
          <w:rFonts w:hint="eastAsia" w:asciiTheme="majorEastAsia" w:hAnsiTheme="majorEastAsia" w:eastAsiaTheme="majorEastAsia" w:cstheme="majorEastAsia"/>
          <w:i w:val="0"/>
          <w:iCs w:val="0"/>
          <w:caps w:val="0"/>
          <w:color w:val="000000"/>
          <w:spacing w:val="0"/>
          <w:sz w:val="24"/>
          <w:szCs w:val="24"/>
          <w:bdr w:val="none" w:color="auto" w:sz="0" w:space="0"/>
          <w:shd w:val="clear" w:fill="FFFFFF"/>
        </w:rPr>
        <w:t>　　我部此前印发的相关解释或者文件，与本意见不一致的，以本意见为准。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right"/>
        <w:rPr>
          <w:rFonts w:hint="eastAsia" w:asciiTheme="majorEastAsia" w:hAnsiTheme="majorEastAsia" w:eastAsiaTheme="majorEastAsia" w:cstheme="majorEastAsia"/>
          <w:i w:val="0"/>
          <w:iCs w:val="0"/>
          <w:caps w:val="0"/>
          <w:color w:val="000000"/>
          <w:spacing w:val="0"/>
          <w:sz w:val="24"/>
          <w:szCs w:val="24"/>
        </w:rPr>
      </w:pPr>
      <w:r>
        <w:rPr>
          <w:rFonts w:hint="eastAsia" w:asciiTheme="majorEastAsia" w:hAnsiTheme="majorEastAsia" w:eastAsiaTheme="majorEastAsia" w:cstheme="majorEastAsia"/>
          <w:i w:val="0"/>
          <w:iCs w:val="0"/>
          <w:caps w:val="0"/>
          <w:color w:val="000000"/>
          <w:spacing w:val="0"/>
          <w:sz w:val="24"/>
          <w:szCs w:val="24"/>
          <w:bdr w:val="none" w:color="auto" w:sz="0" w:space="0"/>
          <w:shd w:val="clear" w:fill="FFFFFF"/>
        </w:rPr>
        <w:t>　　生态环境部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right"/>
        <w:rPr>
          <w:rFonts w:hint="eastAsia" w:asciiTheme="majorEastAsia" w:hAnsiTheme="majorEastAsia" w:eastAsiaTheme="majorEastAsia" w:cstheme="majorEastAsia"/>
          <w:i w:val="0"/>
          <w:iCs w:val="0"/>
          <w:caps w:val="0"/>
          <w:color w:val="000000"/>
          <w:spacing w:val="0"/>
          <w:sz w:val="24"/>
          <w:szCs w:val="24"/>
        </w:rPr>
      </w:pPr>
      <w:r>
        <w:rPr>
          <w:rFonts w:hint="eastAsia" w:asciiTheme="majorEastAsia" w:hAnsiTheme="majorEastAsia" w:eastAsiaTheme="majorEastAsia" w:cstheme="majorEastAsia"/>
          <w:i w:val="0"/>
          <w:iCs w:val="0"/>
          <w:caps w:val="0"/>
          <w:color w:val="000000"/>
          <w:spacing w:val="0"/>
          <w:sz w:val="24"/>
          <w:szCs w:val="24"/>
          <w:bdr w:val="none" w:color="auto" w:sz="0" w:space="0"/>
          <w:shd w:val="clear" w:fill="FFFFFF"/>
        </w:rPr>
        <w:t>　　2019年10月17日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华光中楷_CNKI">
    <w:panose1 w:val="02000500000000000000"/>
    <w:charset w:val="86"/>
    <w:family w:val="auto"/>
    <w:pitch w:val="default"/>
    <w:sig w:usb0="A00002BF" w:usb1="38CF7CFA" w:usb2="00000016" w:usb3="00000000" w:csb0="0004000F" w:csb1="00000000"/>
  </w:font>
  <w:font w:name="华光中圆_CNKI">
    <w:panose1 w:val="02000500000000000000"/>
    <w:charset w:val="86"/>
    <w:family w:val="auto"/>
    <w:pitch w:val="default"/>
    <w:sig w:usb0="A00002BF" w:usb1="18CF7CFA" w:usb2="00000016" w:usb3="00000000" w:csb0="0004000F" w:csb1="00000000"/>
  </w:font>
  <w:font w:name="华光魏体_CNKI">
    <w:panose1 w:val="02000500000000000000"/>
    <w:charset w:val="86"/>
    <w:family w:val="auto"/>
    <w:pitch w:val="default"/>
    <w:sig w:usb0="A00002BF" w:usb1="18CF7CFA" w:usb2="00000016" w:usb3="00000000" w:csb0="0004000F" w:csb1="00000000"/>
  </w:font>
  <w:font w:name="华光书宋_CNKI">
    <w:panose1 w:val="02000500000000000000"/>
    <w:charset w:val="86"/>
    <w:family w:val="auto"/>
    <w:pitch w:val="default"/>
    <w:sig w:usb0="A00002BF" w:usb1="38CF7CFA" w:usb2="00000016" w:usb3="00000000" w:csb0="0004000F" w:csb1="00000000"/>
  </w:font>
  <w:font w:name="华光隶变_CNKI">
    <w:panose1 w:val="02000500000000000000"/>
    <w:charset w:val="86"/>
    <w:family w:val="auto"/>
    <w:pitch w:val="default"/>
    <w:sig w:usb0="800002BF" w:usb1="38CF7CFA" w:usb2="00000016" w:usb3="00000000" w:csb0="0004000F" w:csb1="00000000"/>
  </w:font>
  <w:font w:name="华光仿宋二_CNKI">
    <w:panose1 w:val="02000500000000000000"/>
    <w:charset w:val="86"/>
    <w:family w:val="auto"/>
    <w:pitch w:val="default"/>
    <w:sig w:usb0="A00002BF" w:usb1="38CF7CFA" w:usb2="00000016" w:usb3="00000000" w:csb0="0004000F" w:csb1="00000000"/>
  </w:font>
  <w:font w:name="华光敦韵宋_CNKI">
    <w:panose1 w:val="02000500000000000000"/>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CD1C38"/>
    <w:rsid w:val="5CCD1C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2021-12-14T03:01:00Z</dcterms:created>
  <dc:creator>monkeyhappy</dc:creator>
  <cp:lastModifiedBy>monkeyhappy</cp:lastModifiedBy>
  <dcterms:modified xsi:type="dcterms:W3CDTF">2021-12-14T03:02:45Z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9B867C682A594F50AA59AA5D89F697B0</vt:lpwstr>
  </property>
</Properties>
</file>