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第748号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《地下水管理条例》已经2021年9月15日国务院第149次常务会议通过，现予公布，自2021年12月1日起施行。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总理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2021年10月21日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bookmarkStart w:id="0" w:name="_GoBack"/>
      <w:r>
        <w:rPr>
          <w:rStyle w:val="5"/>
          <w:rFonts w:hint="eastAsia" w:ascii="宋体" w:hAnsi="宋体" w:eastAsia="宋体" w:cs="宋体"/>
          <w:i w:val="0"/>
          <w:iCs w:val="0"/>
          <w:caps w:val="0"/>
          <w:color w:val="000000"/>
          <w:spacing w:val="0"/>
          <w:sz w:val="24"/>
          <w:szCs w:val="24"/>
          <w:bdr w:val="none" w:color="auto" w:sz="0" w:space="0"/>
          <w:shd w:val="clear" w:fill="FFFFFF"/>
        </w:rPr>
        <w:t>地下水管理条例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为了加强地下水管理，防治地下水超采和污染，保障地下水质量和可持续利用，推进生态文明建设，根据《中华人民共和国水法》和《中华人民共和国水污染防治法》等法律，制定本条例。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地下水调查与规划、节约与保护、超采治理、污染防治、监督管理等活动，适用本条例。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本条例所称地下水，是指赋存于地表以下的水。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地下水管理坚持统筹规划、节水优先、高效利用、系统治理的原则。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国务院水行政主管部门负责全国地下水统一监督管理工作。国务院生态环境主管部门负责全国地下水污染防治监督管理工作。国务院自然资源等主管部门按照职责分工做好地下水调查、监测等相关工作。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县级以上地方人民政府对本行政区域内的地下水管理负责，应当将地下水管理纳入本级国民经济和社会发展规划，并采取控制开采量、防治污染等措施，维持地下水合理水位，保护地下水水质。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县级以上地方人民政府水行政主管部门按照管理权限，负责本行政区域内地下水统一监督管理工作。地方人民政府生态环境主管部门负责本行政区域内地下水污染防治监督管理工作。县级以上地方人民政府自然资源等主管部门按照职责分工做好本行政区域内地下水调查、监测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利用地下水的单位和个人应当加强地下水取水工程管理，节约、保护地下水，防止地下水污染。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国务院对省、自治区、直辖市地下水管理和保护情况实行目标责任制和考核评价制度。国务院有关部门按照职责分工负责考核评价工作的具体组织实施。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任何单位和个人都有权对损害地下水的行为进行监督、检举。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对在节约、保护和管理地下水工作中作出突出贡献的单位和个人，按照国家有关规定给予表彰和奖励。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国家加强对地下水节约和保护的宣传教育，鼓励、支持地下水先进科学技术的研究、推广和应用。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第二章　调查与规划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国家定期组织开展地下水状况调查评价工作。地下水状况调查评价包括地下水资源调查评价、地下水污染调查评价和水文地质勘查评价等内容。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县级以上人民政府应当组织水行政、自然资源、生态环境等主管部门开展地下水状况调查评价工作。调查评价成果是编制地下水保护利用和污染防治等规划以及管理地下水的重要依据。调查评价成果应当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县级以上人民政府水行政、自然资源、生态环境等主管部门根据地下水状况调查评价成果，统筹考虑经济社会发展需要、地下水资源状况、污染防治等因素，编制本级地下水保护利用和污染防治等规划，依法履行征求意见、论证评估等程序后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地下水保护利用和污染防治等规划是节约、保护、利用、修复治理地下水的基本依据。地下水保护利用和污染防治等规划应当服从水资源综合规划和环境保护规划。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国民经济和社会发展规划以及国土空间规划等相关规划的编制、重大建设项目的布局，应当与地下水资源条件和地下水保护要求相适应，并进行科学论证。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编制工业、农业、市政、能源、矿产资源开发等专项规划，涉及地下水的内容，应当与地下水保护利用和污染防治等规划相衔接。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国家建立地下水储备制度。国务院水行政主管部门应当会同国务院自然资源、发展改革等主管部门，对地下水储备工作进行指导、协调和监督检查。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县级以上地方人民政府水行政主管部门应当会同本级人民政府自然资源、发展改革等主管部门，根据本行政区域内地下水条件、气候状况和水资源储备需要，制定动用地下水储备预案并报本级人民政府批准。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除特殊干旱年份以及发生重大突发事件外，不得动用地下水储备。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第三章　节约与保护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国家实行地下水取水总量控制制度。国务院水行政主管部门会同国务院自然资源主管部门，根据各省、自治区、直辖市地下水可开采量和地表水水资源状况，制定并下达各省、自治区、直辖市地下水取水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省、自治区、直辖市人民政府水行政主管部门应当会同本级人民政府有关部门，根据国家下达的地下水取水总量控制指标，制定本行政区域内县级以上行政区域的地下水取水总量控制指标和地下水水位控制指标，经省、自治区、直辖市人民政府批准后下达实施，并报国务院水行政主管部门或者其授权的流域管理机构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省、自治区、直辖市人民政府水行政主管部门制定本行政区域内地下水取水总量控制指标和地下水水位控制指标时，涉及省际边界区域且属于同一水文地质单元的，应当与相邻省、自治区、直辖市人民政府水行政主管部门协商确定。协商不成的，由国务院水行政主管部门会同国务院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县级以上地方人民政府应当根据地下水取水总量控制指标、地下水水位控制指标和国家相关技术标准，合理确定本行政区域内地下水取水工程布局。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县级以上地方人民政府水行政主管部门应当根据本行政区域内地下水取水总量控制指标、地下水水位控制指标以及科学分析测算的地下水需求量和用水结构，制定地下水年度取水计划，对本行政区域内的年度取用地下水实行总量控制，并报上一级人民政府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取用地下水的单位和个人应当遵守取水总量控制和定额管理要求，使用先进节约用水技术、工艺和设备，采取循环用水、综合利用及废水处理回用等措施，实施技术改造，降低用水消耗。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对下列工艺、设备和产品，应当在规定的期限内停止生产、销售、进口或者使用：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（一）列入淘汰落后的、耗水量高的工艺、设备和产品名录的；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（二）列入限期禁止采用的严重污染水环境的工艺名录和限期禁止生产、销售、进口、使用的严重污染水环境的设备名录的。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新建、改建、扩建地下水取水工程，应当同时安装计量设施。已有地下水取水工程未安装计量设施的，应当按照县级以上地方人民政府水行政主管部门规定的期限安装。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单位和个人取用地下水量达到取水规模以上的，应当安装地下水取水在线计量设施，并将计量数据实时传输到有管理权限的水行政主管部门。取水规模由省、自治区、直辖市人民政府水行政主管部门制定、公布，并报国务院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　第二十三条</w:t>
      </w:r>
      <w:r>
        <w:rPr>
          <w:rFonts w:hint="eastAsia" w:ascii="宋体" w:hAnsi="宋体" w:eastAsia="宋体" w:cs="宋体"/>
          <w:i w:val="0"/>
          <w:iCs w:val="0"/>
          <w:caps w:val="0"/>
          <w:color w:val="000000"/>
          <w:spacing w:val="0"/>
          <w:sz w:val="24"/>
          <w:szCs w:val="24"/>
          <w:bdr w:val="none" w:color="auto" w:sz="0" w:space="0"/>
          <w:shd w:val="clear" w:fill="FFFFFF"/>
        </w:rPr>
        <w:t>　以地下水为灌溉水源的地区，县级以上地方人民政府应当采取保障建设投入、加大对企业信贷支持力度、建立健全基层水利服务体系等措施，鼓励发展节水农业，推广应用喷灌、微灌、管道输水灌溉、渠道防渗输水灌溉等节水灌溉技术，以及先进的农机、农艺和生物技术等，提高农业用水效率，节约农业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国务院根据国民经济和社会发展需要，对取用地下水的单位和个人试点征收水资源税。地下水水资源税根据当地地下水资源状况、取用水类型和经济发展等情况实行差别税率，合理提高征收标准。征收水资源税的，停止征收水资源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尚未试点征收水资源税的省、自治区、直辖市，对同一类型取用水，地下水的水资源费征收标准应当高于地表水的标准，地下水超采区的水资源费征收标准应当高于非超采区的标准，地下水严重超采区的水资源费征收标准应当大幅高于非超采区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有下列情形之一的，对取用地下水的取水许可申请不予批准：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（一）不符合地下水取水总量控制、地下水水位控制要求；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（二）不符合限制开采区取用水规定；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（三）不符合行业用水定额和节水规定；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（四）不符合强制性国家标准；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（五）水资源紧缺或者生态脆弱地区新建、改建、扩建高耗水项目；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（六）违反法律、法规的规定开垦种植而取用地下水。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除下列情形外，禁止开采难以更新的地下水：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（一）应急供水取水；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（二）无替代水源地区的居民生活用水；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（三）为开展地下水监测、勘探、试验少量取水。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已经开采的，除前款规定的情形外，有关县级以上地方人民政府应当采取禁止开采、限制开采措施，逐步实现全面禁止开采；前款规定的情形消除后，应当立即停止取用地下水。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县级以上地方人民政府应当加强地下水水源补给保护，充分利用自然条件补充地下水，有效涵养地下水水源。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城乡建设应当统筹地下水水源涵养和回补需要，按照海绵城市建设的要求，推广海绵型建筑、道路、广场、公园、绿地等，逐步完善滞渗蓄排等相结合的雨洪水收集利用系统。河流、湖泊整治应当兼顾地下水水源涵养，加强水体自然形态保护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城市人民政府应当因地制宜采取有效措施，推广节水型生活用水器具，鼓励使用再生水，提高用水效率。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县级以上地方人民政府应当根据地下水水源条件和需要，建设应急备用饮用水水源，制定应急预案，确保需要时正常使用。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应急备用地下水水源结束应急使用后，应当立即停止取水。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有关县级以上地方人民政府水行政主管部门会同本级人民政府有关部门编制重要泉域保护方案，明确保护范围、保护措施，报本级人民政府批准后实施。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对已经干涸但具有重要历史文化和生态价值的泉域，具备条件的，应当采取措施予以恢复。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第四章　超采治理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国务院水行政主管部门应当会同国务院自然资源主管部门根据地下水状况调查评价成果，组织划定全国地下水超采区，并依法向社会公布。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省、自治区、直辖市人民政府水行政主管部门应当会同本级人民政府自然资源等主管部门，统筹考虑地下水超采区划定、地下水利用情况以及地质环境条件等因素，组织划定本行政区域内地下水禁止开采区、限制开采区，经省、自治区、直辖市人民政府批准后公布，并报国务院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地下水禁止开采区、限制开采区划定后，确需调整的，应当按照原划定程序进行调整。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有下列情形之一的，应当划为地下水禁止开采区：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（一）已发生严重的地面沉降、地裂缝、海（咸）水入侵、植被退化等地质灾害或者生态损害的区域；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（二）地下水超采区内公共供水管网覆盖或者通过替代水源已经解决供水需求的区域；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（三）法律、法规规定禁止开采地下水的其他区域。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有下列情形之一的，应当划为地下水限制开采区：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（一）地下水开采量接近可开采量的区域；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（二）开采地下水可能引发地质灾害或者生态损害的区域；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（三）法律、法规规定限制开采地下水的其他区域。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除下列情形外，在地下水禁止开采区内禁止取用地下水：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（一）为保障地下工程施工安全和生产安全必须进行临时应急取（排）水；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（二）为消除对公共安全或者公共利益的危害临时应急取水；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（三）为开展地下水监测、勘探、试验少量取水。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除前款规定的情形外，在地下水限制开采区内禁止新增取用地下水，并逐步削减地下水取水量；前款规定的情形消除后，应当立即停止取用地下水。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　第三十六条</w:t>
      </w:r>
      <w:r>
        <w:rPr>
          <w:rFonts w:hint="eastAsia" w:ascii="宋体" w:hAnsi="宋体" w:eastAsia="宋体" w:cs="宋体"/>
          <w:i w:val="0"/>
          <w:iCs w:val="0"/>
          <w:caps w:val="0"/>
          <w:color w:val="000000"/>
          <w:spacing w:val="0"/>
          <w:sz w:val="24"/>
          <w:szCs w:val="24"/>
          <w:bdr w:val="none" w:color="auto" w:sz="0" w:space="0"/>
          <w:shd w:val="clear" w:fill="FFFFFF"/>
        </w:rPr>
        <w:t>　省、自治区、直辖市人民政府水行政主管部门应当会同本级人民政府有关部门，编制本行政区域地下水超采综合治理方案，经省、自治区、直辖市人民政府批准后，报国务院水行政主管部门备案。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地下水超采综合治理方案应当明确治理目标、治理措施、保障措施等内容。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第三十七条　</w:t>
      </w:r>
      <w:r>
        <w:rPr>
          <w:rFonts w:hint="eastAsia" w:ascii="宋体" w:hAnsi="宋体" w:eastAsia="宋体" w:cs="宋体"/>
          <w:i w:val="0"/>
          <w:iCs w:val="0"/>
          <w:caps w:val="0"/>
          <w:color w:val="000000"/>
          <w:spacing w:val="0"/>
          <w:sz w:val="24"/>
          <w:szCs w:val="24"/>
          <w:bdr w:val="none" w:color="auto" w:sz="0" w:space="0"/>
          <w:shd w:val="clear" w:fill="FFFFFF"/>
        </w:rPr>
        <w:t>地下水超采区的县级以上地方人民政府应当加强节水型社会建设，通过加大海绵城市建设力度、调整种植结构、推广节水农业、加强工业节水、实施河湖地下水回补等措施，逐步实现地下水采补平衡。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国家在替代水源供给、公共供水管网建设、产业结构调整等方面，加大对地下水超采区地方人民政府的支持力度。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有关县级以上地方人民政府水行政主管部门应当会同本级人民政府自然资源主管部门加强对海（咸）水入侵的监测和预防。已经出现海（咸）水入侵的地区，应当采取综合治理措施。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第五章　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国务院生态环境主管部门应当会同国务院水行政、自然资源等主管部门，指导全国地下水污染防治重点区划定工作。省、自治区、直辖市人民政府生态环境主管部门应当会同本级人民政府水行政、自然资源等主管部门，根据本行政区域内地下水污染防治需要，划定地下水污染防治重点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禁止下列污染或者可能污染地下水的行为：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（一）利用渗井、渗坑、裂隙、溶洞以及私设暗管等逃避监管的方式排放水污染物；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（二）利用岩层孔隙、裂隙、溶洞、废弃矿坑等贮存石化原料及产品、农药、危险废物、城镇污水处理设施产生的污泥和处理后的污泥或者其他有毒有害物质；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（三）利用无防渗漏措施的沟渠、坑塘等输送或者贮存含有毒污染物的废水、含病原体的污水和其他废弃物；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（四）法律、法规禁止的其他污染或者可能污染地下水的行为。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企业事业单位和其他生产经营者应当采取下列措施，防止地下水污染：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（一）兴建地下工程设施或者进行地下勘探、采矿等活动，依法编制的环境影响评价文件中，应当包括地下水污染防治的内容，并采取防护性措施；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（二）化学品生产企业以及工业集聚区、矿山开采区、尾矿库、危险废物处置场、垃圾填埋场等的运营、管理单位，应当采取防渗漏等措施，并建设地下水水质监测井进行监测；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（三）加油站等的地下油罐应当使用双层罐或者采取建造防渗池等其他有效措施，并进行防渗漏监测；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（四）存放可溶性剧毒废渣的场所，应当采取防水、防渗漏、防流失的措施；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（五）法律、法规规定应当采取的其他防止地下水污染的措施。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根据前款第二项规定的企业事业单位和其他生产经营者排放有毒有害物质情况，地方人民政府生态环境主管部门应当按照国务院生态环境主管部门的规定，商有关部门确定并公布地下水污染防治重点排污单位名录。地下水污染防治重点排污单位应当依法安装水污染物排放自动监测设备，与生态环境主管部门的监控设备联网，并保证监测设备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在泉域保护范围以及岩溶强发育、存在较多落水洞和岩溶漏斗的区域内，不得新建、改建、扩建可能造成地下水污染的建设项目。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多层含水层开采、回灌地下水应当防止串层污染。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多层地下水的含水层水质差异大的，应当分层开采；对已受污染的潜水和承压水，不得混合开采。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已经造成地下水串层污染的，应当按照封填井技术要求限期回填串层开采井，并对造成的地下水污染进行治理和修复。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人工回灌补给地下水，应当符合相关的水质标准，不得使地下水水质恶化。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农业生产经营者等有关单位和个人应当科学、合理使用农药、肥料等农业投入品，农田灌溉用水应当符合相关水质标准，防止地下水污染。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县级以上地方人民政府及其有关部门应当加强农药、肥料等农业投入品使用指导和技术服务，鼓励和引导农业生产经营者等有关单位和个人合理使用农药、肥料等农业投入品，防止地下水污染。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依照《中华人民共和国土壤污染防治法》的有关规定，安全利用类和严格管控类农用地地块的土壤污染影响或者可能影响地下水安全的，制定防治污染的方案时，应当包括地下水污染防治的内容。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污染物含量超过土壤污染风险管控标准的建设用地地块，编制土壤污染风险评估报告时，应当包括地下水是否受到污染的内容；列入风险管控和修复名录的建设用地地块，采取的风险管控措施中应当包括地下水污染防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对需要实施修复的农用地地块，以及列入风险管控和修复名录的建设用地地块，修复方案中应当包括地下水污染防治的内容。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第六章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县级以上人民政府水行政、自然资源、生态环境等主管部门应当依照职责加强监督管理，完善协作配合机制。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国务院水行政、自然资源、生态环境等主管部门建立统一的国家地下水监测站网和地下水监测信息共享机制，对地下水进行动态监测。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县级以上地方人民政府水行政、自然资源、生态环境等主管部门根据需要完善地下水监测工作体系，加强地下水监测。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任何单位和个人不得侵占、毁坏或者擅自移动地下水监测设施设备及其标志。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新建、改建、扩建建设工程应当避开地下水监测设施设备；确实无法避开、需要拆除地下水监测设施设备的，应当由县级以上人民政府水行政、自然资源、生态环境等主管部门按照有关技术要求组织迁建，迁建费用由建设单位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任何单位和个人不得篡改、伪造地下水监测数据。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建设地下水取水工程的单位和个人，应当在申请取水许可时附具地下水取水工程建设方案，并按照取水许可批准文件的要求，自行或者委托具有相应专业技术能力的单位进行施工。施工单位不得承揽应当取得但未取得取水许可的地下水取水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以监测、勘探为目的的地下水取水工程，不需要申请取水许可，建设单位应当于施工前报有管辖权的水行政主管部门备案。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地下水取水工程的所有权人负责工程的安全管理。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000000"/>
          <w:spacing w:val="0"/>
          <w:sz w:val="24"/>
          <w:szCs w:val="24"/>
          <w:bdr w:val="none" w:color="auto" w:sz="0" w:space="0"/>
          <w:shd w:val="clear" w:fill="FFFFFF"/>
        </w:rPr>
        <w:t>　县级以上地方人民政府水行政主管部门应当对本行政区域内的地下水取水工程登记造册，建立监督管理制度。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报废的矿井、钻井、地下水取水工程，或者未建成、已完成勘探任务、依法应当停止取水的地下水取水工程，应当由工程所有权人或者管理单位实施封井或者回填；所有权人或者管理单位应当将其封井或者回填情况告知县级以上地方人民政府水行政主管部门；无法确定所有权人或者管理单位的，由县级以上地方人民政府或者其授权的部门负责组织实施封井或者回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实施封井或者回填，应当符合国家有关技术标准。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第五十条</w:t>
      </w:r>
      <w:r>
        <w:rPr>
          <w:rFonts w:hint="eastAsia" w:ascii="宋体" w:hAnsi="宋体" w:eastAsia="宋体" w:cs="宋体"/>
          <w:i w:val="0"/>
          <w:iCs w:val="0"/>
          <w:caps w:val="0"/>
          <w:color w:val="000000"/>
          <w:spacing w:val="0"/>
          <w:sz w:val="24"/>
          <w:szCs w:val="24"/>
          <w:bdr w:val="none" w:color="auto" w:sz="0" w:space="0"/>
          <w:shd w:val="clear" w:fill="FFFFFF"/>
        </w:rPr>
        <w:t>　县级以上地方人民政府应当组织水行政、自然资源、生态环境等主管部门，划定集中式地下水饮用水水源地并公布名录，定期组织开展地下水饮用水水源地安全评估。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第五十一条</w:t>
      </w:r>
      <w:r>
        <w:rPr>
          <w:rFonts w:hint="eastAsia" w:ascii="宋体" w:hAnsi="宋体" w:eastAsia="宋体" w:cs="宋体"/>
          <w:i w:val="0"/>
          <w:iCs w:val="0"/>
          <w:caps w:val="0"/>
          <w:color w:val="000000"/>
          <w:spacing w:val="0"/>
          <w:sz w:val="24"/>
          <w:szCs w:val="24"/>
          <w:bdr w:val="none" w:color="auto" w:sz="0" w:space="0"/>
          <w:shd w:val="clear" w:fill="FFFFFF"/>
        </w:rPr>
        <w:t>　县级以上地方人民政府水行政主管部门应当会同本级人民政府自然资源等主管部门，根据水文地质条件和地下水保护要求，划定需要取水的地热能开发利用项目的禁止和限制取水范围。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禁止在集中式地下水饮用水水源地建设需要取水的地热能开发利用项目。禁止抽取难以更新的地下水用于需要取水的地热能开发利用项目。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建设需要取水的地热能开发利用项目，应当对取水和回灌进行计量，实行同一含水层等量取水和回灌，不得对地下水造成污染。达到取水规模以上的，应当安装取水和回灌在线计量设施，并将计量数据实时传输到有管理权限的水行政主管部门。取水规模由省、自治区、直辖市人民政府水行政主管部门制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对不符合本条第一款、第二款、第三款规定的已建需要取水的地热能开发利用项目，取水单位和个人应当按照水行政主管部门的规定限期整改，整改不合格的，予以关闭。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　第五十二条</w:t>
      </w:r>
      <w:r>
        <w:rPr>
          <w:rFonts w:hint="eastAsia" w:ascii="宋体" w:hAnsi="宋体" w:eastAsia="宋体" w:cs="宋体"/>
          <w:i w:val="0"/>
          <w:iCs w:val="0"/>
          <w:caps w:val="0"/>
          <w:color w:val="000000"/>
          <w:spacing w:val="0"/>
          <w:sz w:val="24"/>
          <w:szCs w:val="24"/>
          <w:bdr w:val="none" w:color="auto" w:sz="0" w:space="0"/>
          <w:shd w:val="clear" w:fill="FFFFFF"/>
        </w:rPr>
        <w:t>　矿产资源开采、地下工程建设疏干排水量达到规模的，应当依法申请取水许可，安装排水计量设施，定期向取水许可审批机关报送疏干排水量和地下水水位状况。疏干排水量规模由省、自治区、直辖市人民政府制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为保障矿井等地下工程施工安全和生产安全必须进行临时应急取（排）水的，不需要申请取水许可。取（排）水单位和个人应当于临时应急取（排）水结束后5个工作日内，向有管理权限的县级以上地方人民政府水行政主管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矿产资源开采、地下工程建设疏干排水应当优先利用，无法利用的应当达标排放。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第五十三条</w:t>
      </w:r>
      <w:r>
        <w:rPr>
          <w:rFonts w:hint="eastAsia" w:ascii="宋体" w:hAnsi="宋体" w:eastAsia="宋体" w:cs="宋体"/>
          <w:i w:val="0"/>
          <w:iCs w:val="0"/>
          <w:caps w:val="0"/>
          <w:color w:val="000000"/>
          <w:spacing w:val="0"/>
          <w:sz w:val="24"/>
          <w:szCs w:val="24"/>
          <w:bdr w:val="none" w:color="auto" w:sz="0" w:space="0"/>
          <w:shd w:val="clear" w:fill="FFFFFF"/>
        </w:rPr>
        <w:t>　县级以上人民政府水行政、生态环境等主管部门应当建立从事地下水节约、保护、利用活动的单位和个人的诚信档案，记录日常监督检查结果、违法行为查处等情况，并依法向社会公示。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第五十四条</w:t>
      </w:r>
      <w:r>
        <w:rPr>
          <w:rFonts w:hint="eastAsia" w:ascii="宋体" w:hAnsi="宋体" w:eastAsia="宋体" w:cs="宋体"/>
          <w:i w:val="0"/>
          <w:iCs w:val="0"/>
          <w:caps w:val="0"/>
          <w:color w:val="000000"/>
          <w:spacing w:val="0"/>
          <w:sz w:val="24"/>
          <w:szCs w:val="24"/>
          <w:bdr w:val="none" w:color="auto" w:sz="0" w:space="0"/>
          <w:shd w:val="clear" w:fill="FFFFFF"/>
        </w:rPr>
        <w:t>　县级以上地方人民政府，县级以上人民政府水行政、生态环境、自然资源主管部门和其他负有地下水监督管理职责的部门有下列行为之一的，由上级机关责令改正，对负有责任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（一）未采取有效措施导致本行政区域内地下水超采范围扩大，或者地下水污染状况未得到改善甚至恶化；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（二）未完成本行政区域内地下水取水总量控制指标和地下水水位控制指标；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（三）对地下水水位低于控制水位未采取相关措施；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（四）发现违法行为或者接到对违法行为的检举后未予查处；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（五）有其他滥用职权、玩忽职守、徇私舞弊等违法行为。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第五十五条</w:t>
      </w:r>
      <w:r>
        <w:rPr>
          <w:rFonts w:hint="eastAsia" w:ascii="宋体" w:hAnsi="宋体" w:eastAsia="宋体" w:cs="宋体"/>
          <w:i w:val="0"/>
          <w:iCs w:val="0"/>
          <w:caps w:val="0"/>
          <w:color w:val="000000"/>
          <w:spacing w:val="0"/>
          <w:sz w:val="24"/>
          <w:szCs w:val="24"/>
          <w:bdr w:val="none" w:color="auto" w:sz="0" w:space="0"/>
          <w:shd w:val="clear" w:fill="FFFFFF"/>
        </w:rPr>
        <w:t>　违反本条例规定，未经批准擅自取用地下水，或者利用渗井、渗坑、裂隙、溶洞以及私设暗管等逃避监管的方式排放水污染物等违法行为，依照《中华人民共和国水法》、《中华人民共和国水污染防治法》、《中华人民共和国土壤污染防治法》、《取水许可和水资源费征收管理条例》等法律、行政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　第五十六条</w:t>
      </w:r>
      <w:r>
        <w:rPr>
          <w:rFonts w:hint="eastAsia" w:ascii="宋体" w:hAnsi="宋体" w:eastAsia="宋体" w:cs="宋体"/>
          <w:i w:val="0"/>
          <w:iCs w:val="0"/>
          <w:caps w:val="0"/>
          <w:color w:val="000000"/>
          <w:spacing w:val="0"/>
          <w:sz w:val="24"/>
          <w:szCs w:val="24"/>
          <w:bdr w:val="none" w:color="auto" w:sz="0" w:space="0"/>
          <w:shd w:val="clear" w:fill="FFFFFF"/>
        </w:rPr>
        <w:t>　地下水取水工程未安装计量设施的，由县级以上地方人民政府水行政主管部门责令限期安装，并按照日最大取水能力计算的取水量计征相关费用，处10万元以上50万元以下罚款；情节严重的，吊销取水许可证。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　第五十七条</w:t>
      </w:r>
      <w:r>
        <w:rPr>
          <w:rFonts w:hint="eastAsia" w:ascii="宋体" w:hAnsi="宋体" w:eastAsia="宋体" w:cs="宋体"/>
          <w:i w:val="0"/>
          <w:iCs w:val="0"/>
          <w:caps w:val="0"/>
          <w:color w:val="000000"/>
          <w:spacing w:val="0"/>
          <w:sz w:val="24"/>
          <w:szCs w:val="24"/>
          <w:bdr w:val="none" w:color="auto" w:sz="0" w:space="0"/>
          <w:shd w:val="clear" w:fill="FFFFFF"/>
        </w:rPr>
        <w:t>　地下工程建设对地下水补给、径流、排泄等造成重大不利影响的，由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　第五十八条</w:t>
      </w:r>
      <w:r>
        <w:rPr>
          <w:rFonts w:hint="eastAsia" w:ascii="宋体" w:hAnsi="宋体" w:eastAsia="宋体" w:cs="宋体"/>
          <w:i w:val="0"/>
          <w:iCs w:val="0"/>
          <w:caps w:val="0"/>
          <w:color w:val="000000"/>
          <w:spacing w:val="0"/>
          <w:sz w:val="24"/>
          <w:szCs w:val="24"/>
          <w:bdr w:val="none" w:color="auto" w:sz="0" w:space="0"/>
          <w:shd w:val="clear" w:fill="FFFFFF"/>
        </w:rPr>
        <w:t>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第五十九条</w:t>
      </w:r>
      <w:r>
        <w:rPr>
          <w:rFonts w:hint="eastAsia" w:ascii="宋体" w:hAnsi="宋体" w:eastAsia="宋体" w:cs="宋体"/>
          <w:i w:val="0"/>
          <w:iCs w:val="0"/>
          <w:caps w:val="0"/>
          <w:color w:val="000000"/>
          <w:spacing w:val="0"/>
          <w:sz w:val="24"/>
          <w:szCs w:val="24"/>
          <w:bdr w:val="none" w:color="auto" w:sz="0" w:space="0"/>
          <w:shd w:val="clear" w:fill="FFFFFF"/>
        </w:rPr>
        <w:t>　利用岩层孔隙、裂隙、溶洞、废弃矿坑等贮存石化原料及产品、农药、危险废物或者其他有毒有害物质的，由地方人民政府生态环境主管部门责令限期改正，处10万元以上100万元以下罚款。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利用岩层孔隙、裂隙、溶洞、废弃矿坑等贮存城镇污水处理设施产生的污泥和处理后的污泥的，由县级以上地方人民政府城镇排水主管部门责令限期改正，处20万元以上200万元以下罚款，对直接负责的主管人员和其他直接责任人员处2万元以上10万元以下罚款；造成严重后果的，处200万元以上500万元以下罚款，对直接负责的主管人员和其他直接责任人员处5万元以上50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在泉域保护范围以及岩溶强发育、存在较多落水洞和岩溶漏斗的区域内，新建、改建、扩建造成地下水污染的建设项目的，由地方人民政府生态环境主管部门处10万元以上50万元以下罚款，并报经有批准权的人民政府批准，责令拆除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　第六十条　</w:t>
      </w:r>
      <w:r>
        <w:rPr>
          <w:rFonts w:hint="eastAsia" w:ascii="宋体" w:hAnsi="宋体" w:eastAsia="宋体" w:cs="宋体"/>
          <w:i w:val="0"/>
          <w:iCs w:val="0"/>
          <w:caps w:val="0"/>
          <w:color w:val="000000"/>
          <w:spacing w:val="0"/>
          <w:sz w:val="24"/>
          <w:szCs w:val="24"/>
          <w:bdr w:val="none" w:color="auto" w:sz="0" w:space="0"/>
          <w:shd w:val="clear" w:fill="FFFFFF"/>
        </w:rPr>
        <w:t>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　第六十一条</w:t>
      </w:r>
      <w:r>
        <w:rPr>
          <w:rFonts w:hint="eastAsia" w:ascii="宋体" w:hAnsi="宋体" w:eastAsia="宋体" w:cs="宋体"/>
          <w:i w:val="0"/>
          <w:iCs w:val="0"/>
          <w:caps w:val="0"/>
          <w:color w:val="000000"/>
          <w:spacing w:val="0"/>
          <w:sz w:val="24"/>
          <w:szCs w:val="24"/>
          <w:bdr w:val="none" w:color="auto" w:sz="0" w:space="0"/>
          <w:shd w:val="clear" w:fill="FFFFFF"/>
        </w:rPr>
        <w:t>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第六十二条　</w:t>
      </w:r>
      <w:r>
        <w:rPr>
          <w:rFonts w:hint="eastAsia" w:ascii="宋体" w:hAnsi="宋体" w:eastAsia="宋体" w:cs="宋体"/>
          <w:i w:val="0"/>
          <w:iCs w:val="0"/>
          <w:caps w:val="0"/>
          <w:color w:val="000000"/>
          <w:spacing w:val="0"/>
          <w:sz w:val="24"/>
          <w:szCs w:val="24"/>
          <w:bdr w:val="none" w:color="auto" w:sz="0" w:space="0"/>
          <w:shd w:val="clear" w:fill="FFFFFF"/>
        </w:rPr>
        <w:t>违反本条例规定，构成违反治安管理行为的，由公安机关依法给予治安管理处罚；构成犯罪的，依法追究刑事责任。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第六十三条</w:t>
      </w:r>
      <w:r>
        <w:rPr>
          <w:rFonts w:hint="eastAsia" w:ascii="宋体" w:hAnsi="宋体" w:eastAsia="宋体" w:cs="宋体"/>
          <w:i w:val="0"/>
          <w:iCs w:val="0"/>
          <w:caps w:val="0"/>
          <w:color w:val="000000"/>
          <w:spacing w:val="0"/>
          <w:sz w:val="24"/>
          <w:szCs w:val="24"/>
          <w:bdr w:val="none" w:color="auto" w:sz="0" w:space="0"/>
          <w:shd w:val="clear" w:fill="FFFFFF"/>
        </w:rPr>
        <w:t>　本条例下列用语含义是：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地下水取水工程，是指地下水取水井及其配套设施，包括水井、集水廊道、集水池、渗渠、注水井以及需要取水的地热能开发利用项目的取水井和回灌井等。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地下水超采区，是指地下水实际开采量超过可开采量，引起地下水水位持续下降、引发生态损害和地质灾害的区域。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难以更新的地下水，是指与大气降水和地表水体没有密切水力联系，无法补给或者补给非常缓慢的地下水。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70" w:afterAutospacing="0" w:line="540" w:lineRule="atLeast"/>
        <w:ind w:left="0" w:righ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　</w:t>
      </w:r>
      <w:r>
        <w:rPr>
          <w:rStyle w:val="5"/>
          <w:rFonts w:hint="eastAsia" w:ascii="宋体" w:hAnsi="宋体" w:eastAsia="宋体" w:cs="宋体"/>
          <w:i w:val="0"/>
          <w:iCs w:val="0"/>
          <w:caps w:val="0"/>
          <w:color w:val="000000"/>
          <w:spacing w:val="0"/>
          <w:sz w:val="24"/>
          <w:szCs w:val="24"/>
          <w:bdr w:val="none" w:color="auto" w:sz="0" w:space="0"/>
          <w:shd w:val="clear" w:fill="FFFFFF"/>
        </w:rPr>
        <w:t>　第六十四条</w:t>
      </w:r>
      <w:r>
        <w:rPr>
          <w:rFonts w:hint="eastAsia" w:ascii="宋体" w:hAnsi="宋体" w:eastAsia="宋体" w:cs="宋体"/>
          <w:i w:val="0"/>
          <w:iCs w:val="0"/>
          <w:caps w:val="0"/>
          <w:color w:val="000000"/>
          <w:spacing w:val="0"/>
          <w:sz w:val="24"/>
          <w:szCs w:val="24"/>
          <w:bdr w:val="none" w:color="auto" w:sz="0" w:space="0"/>
          <w:shd w:val="clear" w:fill="FFFFFF"/>
        </w:rPr>
        <w:t>　本条例自2021年12月1日起施行。</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E1FDF"/>
    <w:rsid w:val="0B8E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2021-12-01T08:06:00Z</dcterms:created>
  <dc:creator>monkeyhappy</dc:creator>
  <cp:lastModifiedBy>monkeyhappy</cp:lastModifiedBy>
  <dcterms:modified xsi:type="dcterms:W3CDTF">2021-12-01T08:07:20Z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D0ADDE96F64A40BC8DDAA6B5428E8722</vt:lpwstr>
  </property>
</Properties>
</file>