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i w:val="0"/>
          <w:caps w:val="0"/>
          <w:color w:val="C60002"/>
          <w:spacing w:val="0"/>
          <w:sz w:val="42"/>
          <w:szCs w:val="42"/>
          <w:bdr w:val="none" w:color="auto" w:sz="0" w:space="0"/>
          <w:shd w:val="clear" w:fill="FFFFFF"/>
        </w:rPr>
      </w:pPr>
      <w:r>
        <w:rPr>
          <w:i w:val="0"/>
          <w:caps w:val="0"/>
          <w:color w:val="C60002"/>
          <w:spacing w:val="0"/>
          <w:sz w:val="42"/>
          <w:szCs w:val="42"/>
          <w:bdr w:val="none" w:color="auto" w:sz="0" w:space="0"/>
          <w:shd w:val="clear" w:fill="FFFFFF"/>
        </w:rPr>
        <w:t>关于进一步完善建设项目环境保护“三同时”及竣工环境保护自主验收监管工作机制的意见</w:t>
      </w:r>
      <w:bookmarkStart w:id="0" w:name="_GoBack"/>
      <w:bookmarkEnd w:id="0"/>
    </w:p>
    <w:p>
      <w:pPr>
        <w:jc w:val="center"/>
      </w:pPr>
      <w:r>
        <w:rPr>
          <w:rFonts w:hint="eastAsia" w:ascii="微软雅黑" w:hAnsi="微软雅黑" w:eastAsia="微软雅黑" w:cs="微软雅黑"/>
          <w:i w:val="0"/>
          <w:caps w:val="0"/>
          <w:color w:val="000000"/>
          <w:spacing w:val="0"/>
          <w:kern w:val="0"/>
          <w:sz w:val="24"/>
          <w:szCs w:val="24"/>
          <w:shd w:val="clear" w:fill="FFFFFF"/>
          <w:lang w:val="en-US" w:eastAsia="zh-CN" w:bidi="ar"/>
        </w:rPr>
        <w:t>环执法〔2021〕70号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各省、自治区、直辖市生态环境厅（局），新疆生产建设兵团生态环境局：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为贯彻落实《</w:t>
      </w:r>
      <w:r>
        <w:rPr>
          <w:rFonts w:hint="eastAsia" w:ascii="微软雅黑" w:hAnsi="微软雅黑" w:eastAsia="微软雅黑" w:cs="微软雅黑"/>
          <w:i w:val="0"/>
          <w:caps w:val="0"/>
          <w:color w:val="551A8B"/>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551A8B"/>
          <w:spacing w:val="0"/>
          <w:sz w:val="27"/>
          <w:szCs w:val="27"/>
          <w:u w:val="none"/>
          <w:bdr w:val="none" w:color="auto" w:sz="0" w:space="0"/>
          <w:shd w:val="clear" w:fill="FFFFFF"/>
        </w:rPr>
        <w:instrText xml:space="preserve"> HYPERLINK "http://www.mee.gov.cn/ywgz/fgbz/fl/201901/t20190111_689247.shtml" </w:instrText>
      </w:r>
      <w:r>
        <w:rPr>
          <w:rFonts w:hint="eastAsia" w:ascii="微软雅黑" w:hAnsi="微软雅黑" w:eastAsia="微软雅黑" w:cs="微软雅黑"/>
          <w:i w:val="0"/>
          <w:caps w:val="0"/>
          <w:color w:val="551A8B"/>
          <w:spacing w:val="0"/>
          <w:sz w:val="27"/>
          <w:szCs w:val="27"/>
          <w:u w:val="none"/>
          <w:bdr w:val="none" w:color="auto" w:sz="0" w:space="0"/>
          <w:shd w:val="clear" w:fill="FFFFFF"/>
        </w:rPr>
        <w:fldChar w:fldCharType="separate"/>
      </w:r>
      <w:r>
        <w:rPr>
          <w:rStyle w:val="6"/>
          <w:rFonts w:hint="eastAsia" w:ascii="微软雅黑" w:hAnsi="微软雅黑" w:eastAsia="微软雅黑" w:cs="微软雅黑"/>
          <w:i w:val="0"/>
          <w:caps w:val="0"/>
          <w:color w:val="551A8B"/>
          <w:spacing w:val="0"/>
          <w:sz w:val="27"/>
          <w:szCs w:val="27"/>
          <w:u w:val="none"/>
          <w:bdr w:val="none" w:color="auto" w:sz="0" w:space="0"/>
          <w:shd w:val="clear" w:fill="FFFFFF"/>
        </w:rPr>
        <w:t>中华人民共和国环境影响评价法</w:t>
      </w:r>
      <w:r>
        <w:rPr>
          <w:rFonts w:hint="eastAsia" w:ascii="微软雅黑" w:hAnsi="微软雅黑" w:eastAsia="微软雅黑" w:cs="微软雅黑"/>
          <w:i w:val="0"/>
          <w:caps w:val="0"/>
          <w:color w:val="551A8B"/>
          <w:spacing w:val="0"/>
          <w:sz w:val="27"/>
          <w:szCs w:val="27"/>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7"/>
          <w:szCs w:val="27"/>
          <w:bdr w:val="none" w:color="auto" w:sz="0" w:space="0"/>
          <w:shd w:val="clear" w:fill="FFFFFF"/>
        </w:rPr>
        <w:t>》《</w:t>
      </w:r>
      <w:r>
        <w:rPr>
          <w:rFonts w:hint="eastAsia" w:ascii="微软雅黑" w:hAnsi="微软雅黑" w:eastAsia="微软雅黑" w:cs="微软雅黑"/>
          <w:i w:val="0"/>
          <w:caps w:val="0"/>
          <w:color w:val="551A8B"/>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551A8B"/>
          <w:spacing w:val="0"/>
          <w:sz w:val="27"/>
          <w:szCs w:val="27"/>
          <w:u w:val="none"/>
          <w:bdr w:val="none" w:color="auto" w:sz="0" w:space="0"/>
          <w:shd w:val="clear" w:fill="FFFFFF"/>
        </w:rPr>
        <w:instrText xml:space="preserve"> HYPERLINK "http://www.mee.gov.cn/zcwj/gwywj/202001/t20200108_758117.shtml" </w:instrText>
      </w:r>
      <w:r>
        <w:rPr>
          <w:rFonts w:hint="eastAsia" w:ascii="微软雅黑" w:hAnsi="微软雅黑" w:eastAsia="微软雅黑" w:cs="微软雅黑"/>
          <w:i w:val="0"/>
          <w:caps w:val="0"/>
          <w:color w:val="551A8B"/>
          <w:spacing w:val="0"/>
          <w:sz w:val="27"/>
          <w:szCs w:val="27"/>
          <w:u w:val="none"/>
          <w:bdr w:val="none" w:color="auto" w:sz="0" w:space="0"/>
          <w:shd w:val="clear" w:fill="FFFFFF"/>
        </w:rPr>
        <w:fldChar w:fldCharType="separate"/>
      </w:r>
      <w:r>
        <w:rPr>
          <w:rStyle w:val="6"/>
          <w:rFonts w:hint="eastAsia" w:ascii="微软雅黑" w:hAnsi="微软雅黑" w:eastAsia="微软雅黑" w:cs="微软雅黑"/>
          <w:i w:val="0"/>
          <w:caps w:val="0"/>
          <w:color w:val="551A8B"/>
          <w:spacing w:val="0"/>
          <w:sz w:val="27"/>
          <w:szCs w:val="27"/>
          <w:u w:val="none"/>
          <w:bdr w:val="none" w:color="auto" w:sz="0" w:space="0"/>
          <w:shd w:val="clear" w:fill="FFFFFF"/>
        </w:rPr>
        <w:t>建设项目环境保护管理条例</w:t>
      </w:r>
      <w:r>
        <w:rPr>
          <w:rFonts w:hint="eastAsia" w:ascii="微软雅黑" w:hAnsi="微软雅黑" w:eastAsia="微软雅黑" w:cs="微软雅黑"/>
          <w:i w:val="0"/>
          <w:caps w:val="0"/>
          <w:color w:val="551A8B"/>
          <w:spacing w:val="0"/>
          <w:sz w:val="27"/>
          <w:szCs w:val="27"/>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7"/>
          <w:szCs w:val="27"/>
          <w:bdr w:val="none" w:color="auto" w:sz="0" w:space="0"/>
          <w:shd w:val="clear" w:fill="FFFFFF"/>
        </w:rPr>
        <w:t>》，深化生态环境领域“放管服”改革，加强建设项目全过程监管，理顺各级生态环境部门监管职责，落实建设单位生态环境保护主体责任，现就完善建设项目（不含海洋工程、核动力厂和研究堆项目）环境保护“三同时”及竣工环境保护自主验收（以下简称“三同时”及自主验收）监管机制，切实优化监管方式提高监管效能提出意见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一、严格落实属地监管责任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建立事前属地参与机制。生态环境部将进一步完善环评审批程序，在建设项目环评文件技术评估和审查过程中，根据环境影响和环境风险大小，邀请项目所在地省级或设区的市级人民政府及相关部门参加现场踏勘、技术评估会和部内审查会，共同研究提出防治环境污染和生态破坏的措施，明确后续属地监管内容和各方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请各省（区、市）生态环境部门参照我部环评审批程序，在建设项目环评文件技术评估和审查过程中，建立所在地人民政府及相关部门事前参与机制，合理确定参会范围，也可以采取书面征求意见的方式，避免增加行政成本。在环评批复文件中，按照属地负责的原则，将设区的市级生态环境部门作为建设项目事中事后监管的主要责任部门，在审批完成后及时将环评文件及批复文件转送设区的市级生态环境部门，涉及污染物区域削减、煤炭替代、产能置换、居民搬迁、栖息地保护等要求的应同时转送所在地人民政府及相关部门，并明确有关责任和完成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夯实事中事后属地监管责任。请各省（区、市）生态环境部门切实加强对行政区域内生态环境部门“三同时”及自主验收监管工作的监督指导，督促建设项目所在地设区的市级生态环境部门严格落实属地监管责任。按照生态环境保护综合行政执法事项指导目录要求，督促设区的市级生态环境部门切实履行主要责任部门职责，采取“双随机、一公开”方式，全面加强对市域内所有列入环境影响评价分类管理名录建设项目“三同时”及自主验收监管，加大监督检查和处理处罚力度，确保生态环境保护设施与主体工程同时设计、同时施工、同时投产使用，生态环境保护各项措施严格落实，建设单位自主验收工作合法合规。加强对跨市域建设项目“三同时”及自主验收的抽查，协调建设项目所跨区域市级生态环境部门建立协作会商机制。加强对生态环境部审批（以下简称部批）和省级审批重点建设项目的抽查，对于部批项目，在项目开工建设后至投入生产或使用1年内，抽查工作至少应实现一次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二、切实规范现场监督检查内容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聚焦“三同时”监管重点。地方各级生态环境部门开展“三同时”监督检查时应进一步聚焦主责主业，重点对现有法律法规中有明确法律责任的具体行为进行检查。重点关注设计文件中编制环境保护篇章、落实防治环境污染和生态破坏的措施以及环境保护设施投资概算情况；建设单位施工合同涵盖环境保护设施建设内容并配置相应资金情况；建设项目实际开工时间超出环评文件批准之日五年的报原审批部门重新审核情况；建设性质、规模、地点、采用的生产工艺或者防治污染、防止生态破坏的措施与环评文件、批复文件或环境保护设施设计要求的一致性，发生变动的，建设单位在变动前开展环境影响分析情况，重大变动重新报批环评文件情况；环境保护设施和措施与主体工程施工同步实施情况；建设过程中对生态环境的破坏或污染情况；有关国际条约履约要求和国家产业政策遵守情况；环评批复文件中环境监理要求的落实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统一自主验收监管内容。地方各级生态环境部门应按照合法性检查为主的原则开展自主验收监督检查。重点关注是否存在不应通过验收的八种情形，即环评要求的环境保护设施未建成、未与主体工程同时投入生产或使用，超标超总量排污，发生重大变动未重新报批环评文件，建设过程中造成的重大环境污染或生态破坏未完成整改，纳入排污许可管理的项目无证或不按许可证排污，治污能力不能满足主体工程需要，被处罚的违法行为未改正完成，验收报告存在严重质量问题或验收中弄虚作假等。同时，还应对验收程序的规范性、内容的完整性、信息公开的合规性，以及政府和有关部门承诺措施的落实情况等事项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三、不断优化监管方式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优化信息共享机制。地方各级生态环境部门应进一步优化环评与执法信息共享机制。环评审批机构在建设项目环评文件批复后或接到上级转送环评文件及批复文件后，及时将相关文件转送环境执法机构，环境执法机构在日常监督检查中发现涉及环评管理问题的，及时反馈环评审批机构，切实形成监管合力，提高管理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完善公众参与机制。地方各级生态环境部门要充分发挥公众监督作用，及时对建设项目环境影响报告书编制过程中的公众参与信息、环评文件受理和审批过程中收集的公众意见、项目建设及调试阶段受理的群众举报和投诉意见进行梳理，系统总结项目建设及运行过程中潜在的环境风险点，并作为重要线索，纳入“三同时”及自主验收监督检查重点关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探索第三方辅助执法机制。请各省（区、市）生态环境部门进一步加强生态环境执法专家库建设，鼓励各级生态环境部门在本级预算中合理安排经费，邀请行业专家、技术专家或第三方咨询机构辅助开展“三同时”及自主验收监督检查。借助第三方力量，从专业角度对建设项目工程内容以及生态环保措施的批建一致性、达标排放的技术可达性、生态环境影响的可控性进行评判，为精准发现环境违法问题提供技术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四）依托信息化平台。地方各级生态环境部门应充分运用全国建设项目环评统一申报和审批系统、全国排污许可证管理信息平台、全国建设项目竣工验收信息系统等相关数据平台，系统梳理建设单位填报信息和属地生态环境部门监管信息，跟踪掌握建设项目建设、投产、验收进度。不断强化数据分析，探索建立源头异常发现、问题初步识别、检查需求推送的智能模型，精准、高效地开展“三同时”及自主验收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四、持续加大惩戒和督促力度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依法处理处罚。地方各级生态环境部门检查中发现“三同时”制度不落实或落实不到位、未经验收擅自投产、自主验收过程中弄虚作假、未按要求向社会公开验收报告等行为，除依照《建设项目环境保护管理条例》等法律法规进行处理处罚外，还应将建设项目有关环境违法信息及时记入环保信用信息平台，并及时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加大督政力度。对建设项目环评批复中载明的由人民政府和有关部门承诺实施的区域削减、煤炭替代、产能置换、居民搬迁、栖息地保护等与建设项目配套的环境保护对策措施落实进度缓慢或不落实的，建设项目所在地生态环境部门应及时向上级生态环境部门报告。上级生态环境部门充分利用约谈、限批、通报等手段，督促属地人民政府切实按其承诺内容落实相关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加强重点项目抽查。请各省（区、市）生态环境部门每年12月底前将行政区域内各级生态环境部门对部批项目“三同时”及自主验收监督检查情况、发现问题及处理处罚情况报送生态环境部。生态环境部每年将适时组织相关省（区、市）生态环境部门对上一年度已开工和当年已完成自主验收（已颁发排污许可证）的部批项目，尤其是环境风险大、生态敏感度高、社会关注度高、信访投诉量大或违法问题线索明确的建设项目，“三同时”、自主验收情况以及属地监管责任落实情况进行抽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生态环境部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2021年8月20日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（此件社会公开）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抄送：生态环境部环境工程评估中心。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生态环境部办公厅2021年8月23日印发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80B4A"/>
    <w:rsid w:val="67B80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2021-09-07T04:04:00Z</dcterms:created>
  <dc:creator>monkeyhappy</dc:creator>
  <cp:lastModifiedBy>monkeyhappy</cp:lastModifiedBy>
  <dcterms:modified xsi:type="dcterms:W3CDTF">2021-09-07T04:05:07Z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