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Cs/>
          <w:sz w:val="44"/>
          <w:szCs w:val="44"/>
        </w:rPr>
      </w:pPr>
      <w:r>
        <w:rPr>
          <w:rFonts w:hint="eastAsia" w:ascii="Times New Roman" w:hAnsi="Times New Roman" w:cs="Times New Roman"/>
          <w:bCs/>
          <w:sz w:val="44"/>
          <w:szCs w:val="44"/>
          <w:lang w:eastAsia="zh-CN"/>
        </w:rPr>
        <w:t>涉</w:t>
      </w:r>
      <w:bookmarkStart w:id="2" w:name="_GoBack"/>
      <w:bookmarkEnd w:id="2"/>
      <w:r>
        <w:rPr>
          <w:rFonts w:ascii="Times New Roman" w:hAnsi="Times New Roman" w:cs="Times New Roman"/>
          <w:bCs/>
          <w:sz w:val="44"/>
          <w:szCs w:val="44"/>
        </w:rPr>
        <w:t>氨制冷</w:t>
      </w:r>
      <w:r>
        <w:rPr>
          <w:rFonts w:hint="eastAsia" w:ascii="Times New Roman" w:hAnsi="Times New Roman" w:cs="Times New Roman"/>
          <w:bCs/>
          <w:sz w:val="44"/>
          <w:szCs w:val="44"/>
        </w:rPr>
        <w:t>行业</w:t>
      </w:r>
      <w:r>
        <w:rPr>
          <w:rFonts w:hint="eastAsia" w:ascii="宋体" w:hAnsi="宋体" w:eastAsia="宋体" w:cs="宋体"/>
          <w:bCs/>
          <w:sz w:val="44"/>
          <w:szCs w:val="44"/>
        </w:rPr>
        <w:t>较大风险辨识和管控</w:t>
      </w:r>
      <w:r>
        <w:rPr>
          <w:rFonts w:ascii="Times New Roman" w:hAnsi="Times New Roman" w:cs="Times New Roman"/>
          <w:bCs/>
          <w:sz w:val="44"/>
          <w:szCs w:val="44"/>
        </w:rPr>
        <w:t>自查自评</w:t>
      </w:r>
      <w:r>
        <w:rPr>
          <w:rFonts w:hint="eastAsia" w:ascii="Times New Roman" w:hAnsi="Times New Roman" w:cs="Times New Roman"/>
          <w:bCs/>
          <w:sz w:val="44"/>
          <w:szCs w:val="44"/>
        </w:rPr>
        <w:t>指南</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83"/>
        <w:gridCol w:w="2398"/>
        <w:gridCol w:w="1434"/>
        <w:gridCol w:w="4159"/>
        <w:gridCol w:w="2217"/>
        <w:gridCol w:w="1468"/>
        <w:gridCol w:w="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238" w:type="pct"/>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序号</w:t>
            </w:r>
          </w:p>
        </w:tc>
        <w:tc>
          <w:tcPr>
            <w:tcW w:w="382" w:type="pct"/>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场所部位</w:t>
            </w:r>
          </w:p>
        </w:tc>
        <w:tc>
          <w:tcPr>
            <w:tcW w:w="846" w:type="pct"/>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较大风险</w:t>
            </w:r>
          </w:p>
        </w:tc>
        <w:tc>
          <w:tcPr>
            <w:tcW w:w="506" w:type="pct"/>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风险代码</w:t>
            </w:r>
          </w:p>
        </w:tc>
        <w:tc>
          <w:tcPr>
            <w:tcW w:w="1467" w:type="pct"/>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检查内容</w:t>
            </w:r>
          </w:p>
        </w:tc>
        <w:tc>
          <w:tcPr>
            <w:tcW w:w="782" w:type="pct"/>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标准规范</w:t>
            </w:r>
          </w:p>
        </w:tc>
        <w:tc>
          <w:tcPr>
            <w:tcW w:w="518" w:type="pct"/>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检查情况</w:t>
            </w:r>
          </w:p>
        </w:tc>
        <w:tc>
          <w:tcPr>
            <w:tcW w:w="261" w:type="pct"/>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8"/>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cs="Times New Roman"/>
                <w:b/>
                <w:bCs/>
                <w:szCs w:val="21"/>
                <w:lang w:eastAsia="zh-CN"/>
              </w:rPr>
              <w:t>涉</w:t>
            </w:r>
            <w:r>
              <w:rPr>
                <w:rFonts w:hint="eastAsia" w:ascii="Times New Roman" w:hAnsi="Times New Roman" w:cs="Times New Roman"/>
                <w:b/>
                <w:bCs/>
                <w:szCs w:val="21"/>
              </w:rPr>
              <w:t>氨制冷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2"/>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制冷场所</w:t>
            </w:r>
          </w:p>
        </w:tc>
        <w:tc>
          <w:tcPr>
            <w:tcW w:w="846" w:type="pct"/>
            <w:tcBorders>
              <w:tl2br w:val="nil"/>
              <w:tr2bl w:val="nil"/>
            </w:tcBorders>
            <w:vAlign w:val="center"/>
          </w:tcPr>
          <w:p>
            <w:pPr>
              <w:rPr>
                <w:rFonts w:ascii="Times New Roman" w:hAnsi="Times New Roman" w:cs="Times New Roman"/>
                <w:szCs w:val="21"/>
              </w:rPr>
            </w:pPr>
            <w:r>
              <w:rPr>
                <w:rFonts w:ascii="Times New Roman" w:hAnsi="Times New Roman" w:cs="Times New Roman"/>
                <w:szCs w:val="21"/>
              </w:rPr>
              <w:t>液氨泄漏可能导致火灾爆炸</w:t>
            </w:r>
            <w:r>
              <w:rPr>
                <w:rFonts w:hint="eastAsia" w:ascii="Times New Roman" w:hAnsi="Times New Roman" w:cs="Times New Roman"/>
                <w:szCs w:val="21"/>
              </w:rPr>
              <w:t>和中毒</w:t>
            </w:r>
            <w:r>
              <w:rPr>
                <w:rFonts w:ascii="Times New Roman" w:hAnsi="Times New Roman" w:cs="Times New Roman"/>
                <w:szCs w:val="21"/>
              </w:rPr>
              <w:t>事故，造成人员重大伤亡。</w:t>
            </w:r>
          </w:p>
        </w:tc>
        <w:tc>
          <w:tcPr>
            <w:tcW w:w="506"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302</w:t>
            </w:r>
          </w:p>
        </w:tc>
        <w:tc>
          <w:tcPr>
            <w:tcW w:w="1467" w:type="pct"/>
            <w:tcBorders>
              <w:tl2br w:val="nil"/>
              <w:tr2bl w:val="nil"/>
            </w:tcBorders>
            <w:vAlign w:val="center"/>
          </w:tcPr>
          <w:p>
            <w:pPr>
              <w:rPr>
                <w:rFonts w:ascii="Times New Roman" w:hAnsi="Times New Roman" w:cs="Times New Roman"/>
                <w:szCs w:val="21"/>
              </w:rPr>
            </w:pPr>
            <w:r>
              <w:rPr>
                <w:rFonts w:ascii="Times New Roman" w:hAnsi="Times New Roman" w:cs="Times New Roman"/>
                <w:szCs w:val="21"/>
              </w:rPr>
              <w:t>包装间、分割间、产品整理间等人员较多生产场所的空调系统</w:t>
            </w:r>
            <w:r>
              <w:rPr>
                <w:rFonts w:hint="eastAsia" w:ascii="Times New Roman" w:hAnsi="Times New Roman" w:cs="Times New Roman"/>
                <w:szCs w:val="21"/>
              </w:rPr>
              <w:t>不应</w:t>
            </w:r>
            <w:r>
              <w:rPr>
                <w:rFonts w:ascii="Times New Roman" w:hAnsi="Times New Roman" w:cs="Times New Roman"/>
                <w:szCs w:val="21"/>
              </w:rPr>
              <w:t>采用氨直接蒸发制冷系统。</w:t>
            </w:r>
          </w:p>
        </w:tc>
        <w:tc>
          <w:tcPr>
            <w:tcW w:w="782" w:type="pct"/>
            <w:vMerge w:val="restar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工贸行业重大生产安全事故隐患判定标准</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2"/>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制冷装置</w:t>
            </w:r>
          </w:p>
        </w:tc>
        <w:tc>
          <w:tcPr>
            <w:tcW w:w="846" w:type="pct"/>
            <w:tcBorders>
              <w:tl2br w:val="nil"/>
              <w:tr2bl w:val="nil"/>
            </w:tcBorders>
            <w:vAlign w:val="center"/>
          </w:tcPr>
          <w:p>
            <w:pPr>
              <w:rPr>
                <w:rFonts w:ascii="Times New Roman" w:hAnsi="Times New Roman" w:cs="Times New Roman"/>
                <w:szCs w:val="21"/>
              </w:rPr>
            </w:pPr>
            <w:r>
              <w:rPr>
                <w:rFonts w:ascii="Times New Roman" w:hAnsi="Times New Roman" w:cs="Times New Roman"/>
                <w:szCs w:val="21"/>
              </w:rPr>
              <w:t>液氨泄漏可能导致火灾爆炸</w:t>
            </w:r>
            <w:r>
              <w:rPr>
                <w:rFonts w:hint="eastAsia" w:ascii="Times New Roman" w:hAnsi="Times New Roman" w:cs="Times New Roman"/>
                <w:szCs w:val="21"/>
              </w:rPr>
              <w:t>和中毒</w:t>
            </w:r>
            <w:r>
              <w:rPr>
                <w:rFonts w:ascii="Times New Roman" w:hAnsi="Times New Roman" w:cs="Times New Roman"/>
                <w:szCs w:val="21"/>
              </w:rPr>
              <w:t>事故，造成人员重大伤亡。</w:t>
            </w:r>
          </w:p>
        </w:tc>
        <w:tc>
          <w:tcPr>
            <w:tcW w:w="506"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302</w:t>
            </w:r>
          </w:p>
        </w:tc>
        <w:tc>
          <w:tcPr>
            <w:tcW w:w="1467" w:type="pct"/>
            <w:tcBorders>
              <w:tl2br w:val="nil"/>
              <w:tr2bl w:val="nil"/>
            </w:tcBorders>
            <w:vAlign w:val="center"/>
          </w:tcPr>
          <w:p>
            <w:pPr>
              <w:rPr>
                <w:rFonts w:ascii="Times New Roman" w:hAnsi="Times New Roman" w:cs="Times New Roman"/>
                <w:szCs w:val="21"/>
              </w:rPr>
            </w:pPr>
            <w:r>
              <w:rPr>
                <w:rFonts w:ascii="Times New Roman" w:hAnsi="Times New Roman" w:cs="Times New Roman"/>
                <w:szCs w:val="21"/>
              </w:rPr>
              <w:t>快速冻结装置</w:t>
            </w:r>
            <w:r>
              <w:rPr>
                <w:rFonts w:hint="eastAsia" w:ascii="Times New Roman" w:hAnsi="Times New Roman" w:cs="Times New Roman"/>
                <w:szCs w:val="21"/>
              </w:rPr>
              <w:t>应</w:t>
            </w:r>
            <w:r>
              <w:rPr>
                <w:rFonts w:ascii="Times New Roman" w:hAnsi="Times New Roman" w:cs="Times New Roman"/>
                <w:szCs w:val="21"/>
              </w:rPr>
              <w:t>设置在单独的作业间内，且作业间内作业人员数量</w:t>
            </w:r>
            <w:r>
              <w:rPr>
                <w:rFonts w:hint="eastAsia" w:ascii="Times New Roman" w:hAnsi="Times New Roman" w:cs="Times New Roman"/>
                <w:szCs w:val="21"/>
              </w:rPr>
              <w:t>不应</w:t>
            </w:r>
            <w:r>
              <w:rPr>
                <w:rFonts w:ascii="Times New Roman" w:hAnsi="Times New Roman" w:cs="Times New Roman"/>
                <w:szCs w:val="21"/>
              </w:rPr>
              <w:t>超过9人。</w:t>
            </w:r>
          </w:p>
        </w:tc>
        <w:tc>
          <w:tcPr>
            <w:tcW w:w="782" w:type="pct"/>
            <w:vMerge w:val="continue"/>
            <w:tcBorders>
              <w:tl2br w:val="nil"/>
              <w:tr2bl w:val="nil"/>
            </w:tcBorders>
            <w:vAlign w:val="center"/>
          </w:tcPr>
          <w:p>
            <w:pPr>
              <w:spacing w:line="240" w:lineRule="atLeast"/>
              <w:jc w:val="center"/>
              <w:rPr>
                <w:rFonts w:ascii="Times New Roman" w:hAnsi="Times New Roman" w:cs="Times New Roman"/>
                <w:szCs w:val="21"/>
              </w:rPr>
            </w:pP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2"/>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冷库</w:t>
            </w:r>
          </w:p>
        </w:tc>
        <w:tc>
          <w:tcPr>
            <w:tcW w:w="846" w:type="pct"/>
            <w:tcBorders>
              <w:tl2br w:val="nil"/>
              <w:tr2bl w:val="nil"/>
            </w:tcBorders>
            <w:vAlign w:val="center"/>
          </w:tcPr>
          <w:p>
            <w:pPr>
              <w:rPr>
                <w:rFonts w:ascii="Times New Roman" w:hAnsi="Times New Roman" w:cs="Times New Roman"/>
                <w:szCs w:val="21"/>
              </w:rPr>
            </w:pPr>
            <w:r>
              <w:rPr>
                <w:rFonts w:ascii="Times New Roman" w:hAnsi="Times New Roman" w:cs="Times New Roman"/>
                <w:szCs w:val="21"/>
              </w:rPr>
              <w:t>液氨泄漏可能导致火灾爆炸</w:t>
            </w:r>
            <w:r>
              <w:rPr>
                <w:rFonts w:hint="eastAsia" w:ascii="Times New Roman" w:hAnsi="Times New Roman" w:cs="Times New Roman"/>
                <w:szCs w:val="21"/>
              </w:rPr>
              <w:t>和中毒</w:t>
            </w:r>
            <w:r>
              <w:rPr>
                <w:rFonts w:ascii="Times New Roman" w:hAnsi="Times New Roman" w:cs="Times New Roman"/>
                <w:szCs w:val="21"/>
              </w:rPr>
              <w:t>事故，造成人员重大伤亡。</w:t>
            </w:r>
          </w:p>
        </w:tc>
        <w:tc>
          <w:tcPr>
            <w:tcW w:w="506"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302</w:t>
            </w:r>
          </w:p>
        </w:tc>
        <w:tc>
          <w:tcPr>
            <w:tcW w:w="1467" w:type="pct"/>
            <w:tcBorders>
              <w:tl2br w:val="nil"/>
              <w:tr2bl w:val="nil"/>
            </w:tcBorders>
            <w:vAlign w:val="center"/>
          </w:tcPr>
          <w:p>
            <w:pPr>
              <w:rPr>
                <w:rFonts w:ascii="Times New Roman" w:hAnsi="Times New Roman" w:cs="Times New Roman"/>
                <w:szCs w:val="21"/>
              </w:rPr>
            </w:pPr>
            <w:r>
              <w:rPr>
                <w:rFonts w:ascii="Times New Roman" w:hAnsi="Times New Roman" w:cs="Times New Roman"/>
                <w:szCs w:val="21"/>
              </w:rPr>
              <w:t>库房与制冷机房、变配电所和控制室贴邻布置时，相邻侧的墙体，应至少有一面为防火墙，屋顶耐火极限不低于 1.00h。</w:t>
            </w:r>
          </w:p>
        </w:tc>
        <w:tc>
          <w:tcPr>
            <w:tcW w:w="782"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GB50072-2010</w:t>
            </w:r>
          </w:p>
          <w:p>
            <w:pPr>
              <w:jc w:val="center"/>
              <w:rPr>
                <w:rFonts w:ascii="Times New Roman" w:hAnsi="Times New Roman" w:cs="Times New Roman"/>
                <w:kern w:val="0"/>
                <w:szCs w:val="21"/>
              </w:rPr>
            </w:pPr>
            <w:r>
              <w:rPr>
                <w:rFonts w:hint="eastAsia" w:ascii="Times New Roman" w:hAnsi="Times New Roman" w:cs="Times New Roman"/>
                <w:kern w:val="0"/>
                <w:szCs w:val="21"/>
              </w:rPr>
              <w:t>第</w:t>
            </w:r>
            <w:r>
              <w:rPr>
                <w:rFonts w:ascii="Times New Roman" w:hAnsi="Times New Roman" w:cs="Times New Roman"/>
                <w:kern w:val="0"/>
                <w:szCs w:val="21"/>
              </w:rPr>
              <w:t>4.1.9</w:t>
            </w:r>
            <w:r>
              <w:rPr>
                <w:rFonts w:hint="eastAsia" w:ascii="Times New Roman" w:hAnsi="Times New Roman" w:cs="Times New Roman"/>
                <w:kern w:val="0"/>
                <w:szCs w:val="21"/>
              </w:rPr>
              <w:t>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2"/>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冷库</w:t>
            </w:r>
          </w:p>
        </w:tc>
        <w:tc>
          <w:tcPr>
            <w:tcW w:w="846" w:type="pct"/>
            <w:tcBorders>
              <w:tl2br w:val="nil"/>
              <w:tr2bl w:val="nil"/>
            </w:tcBorders>
            <w:vAlign w:val="center"/>
          </w:tcPr>
          <w:p>
            <w:pPr>
              <w:rPr>
                <w:rFonts w:ascii="Times New Roman" w:hAnsi="Times New Roman" w:cs="Times New Roman"/>
                <w:szCs w:val="21"/>
              </w:rPr>
            </w:pPr>
            <w:r>
              <w:rPr>
                <w:rFonts w:ascii="Times New Roman" w:hAnsi="Times New Roman" w:cs="Times New Roman"/>
                <w:szCs w:val="21"/>
              </w:rPr>
              <w:t>液氨泄漏可能导致火灾爆炸</w:t>
            </w:r>
            <w:r>
              <w:rPr>
                <w:rFonts w:hint="eastAsia" w:ascii="Times New Roman" w:hAnsi="Times New Roman" w:cs="Times New Roman"/>
                <w:szCs w:val="21"/>
              </w:rPr>
              <w:t>和中毒</w:t>
            </w:r>
            <w:r>
              <w:rPr>
                <w:rFonts w:ascii="Times New Roman" w:hAnsi="Times New Roman" w:cs="Times New Roman"/>
                <w:szCs w:val="21"/>
              </w:rPr>
              <w:t>事故，造成人员重大伤亡。</w:t>
            </w:r>
          </w:p>
        </w:tc>
        <w:tc>
          <w:tcPr>
            <w:tcW w:w="506"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302</w:t>
            </w:r>
          </w:p>
        </w:tc>
        <w:tc>
          <w:tcPr>
            <w:tcW w:w="1467" w:type="pct"/>
            <w:tcBorders>
              <w:tl2br w:val="nil"/>
              <w:tr2bl w:val="nil"/>
            </w:tcBorders>
            <w:vAlign w:val="center"/>
          </w:tcPr>
          <w:p>
            <w:pPr>
              <w:rPr>
                <w:rFonts w:ascii="Times New Roman" w:hAnsi="Times New Roman" w:cs="Times New Roman"/>
                <w:szCs w:val="21"/>
              </w:rPr>
            </w:pPr>
            <w:r>
              <w:rPr>
                <w:rFonts w:ascii="Times New Roman" w:hAnsi="Times New Roman" w:cs="Times New Roman"/>
                <w:szCs w:val="21"/>
              </w:rPr>
              <w:t>液氨管线严禁穿过有人员办公、休息和居住的建筑物。</w:t>
            </w:r>
          </w:p>
        </w:tc>
        <w:tc>
          <w:tcPr>
            <w:tcW w:w="782" w:type="pct"/>
            <w:tcBorders>
              <w:tl2br w:val="nil"/>
              <w:tr2bl w:val="nil"/>
            </w:tcBorders>
            <w:vAlign w:val="center"/>
          </w:tcPr>
          <w:p>
            <w:pPr>
              <w:jc w:val="center"/>
              <w:rPr>
                <w:rFonts w:ascii="Times New Roman" w:hAnsi="Times New Roman" w:cs="Times New Roman"/>
                <w:kern w:val="0"/>
                <w:szCs w:val="21"/>
              </w:rPr>
            </w:pPr>
            <w:r>
              <w:rPr>
                <w:rFonts w:hint="eastAsia" w:ascii="Times New Roman" w:hAnsi="Times New Roman" w:cs="Times New Roman"/>
                <w:kern w:val="0"/>
                <w:szCs w:val="21"/>
              </w:rPr>
              <w:t>涉氨制冷企业液氨使用专项治理技术指导书（试行）</w:t>
            </w:r>
          </w:p>
          <w:p>
            <w:pPr>
              <w:jc w:val="center"/>
              <w:rPr>
                <w:rFonts w:ascii="Times New Roman" w:hAnsi="Times New Roman" w:cs="Times New Roman"/>
                <w:kern w:val="0"/>
                <w:szCs w:val="21"/>
              </w:rPr>
            </w:pPr>
            <w:r>
              <w:rPr>
                <w:rFonts w:hint="eastAsia" w:ascii="Times New Roman" w:hAnsi="Times New Roman" w:cs="Times New Roman"/>
                <w:kern w:val="0"/>
                <w:szCs w:val="21"/>
              </w:rPr>
              <w:t>第2</w:t>
            </w:r>
            <w:r>
              <w:rPr>
                <w:rFonts w:ascii="Times New Roman" w:hAnsi="Times New Roman" w:cs="Times New Roman"/>
                <w:kern w:val="0"/>
                <w:szCs w:val="21"/>
              </w:rPr>
              <w:t>.1.3</w:t>
            </w:r>
            <w:r>
              <w:rPr>
                <w:rFonts w:hint="eastAsia" w:ascii="Times New Roman" w:hAnsi="Times New Roman" w:cs="Times New Roman"/>
                <w:kern w:val="0"/>
                <w:szCs w:val="21"/>
              </w:rPr>
              <w:t>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2"/>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kern w:val="0"/>
                <w:szCs w:val="21"/>
              </w:rPr>
              <w:t>氨机房</w:t>
            </w:r>
          </w:p>
        </w:tc>
        <w:tc>
          <w:tcPr>
            <w:tcW w:w="846" w:type="pct"/>
            <w:tcBorders>
              <w:tl2br w:val="nil"/>
              <w:tr2bl w:val="nil"/>
            </w:tcBorders>
            <w:vAlign w:val="center"/>
          </w:tcPr>
          <w:p>
            <w:pPr>
              <w:rPr>
                <w:rFonts w:ascii="Times New Roman" w:hAnsi="Times New Roman" w:cs="Times New Roman"/>
                <w:kern w:val="0"/>
                <w:szCs w:val="21"/>
              </w:rPr>
            </w:pPr>
            <w:r>
              <w:rPr>
                <w:rFonts w:hint="eastAsia" w:ascii="Times New Roman" w:hAnsi="Times New Roman" w:cs="Times New Roman"/>
                <w:kern w:val="0"/>
                <w:szCs w:val="21"/>
              </w:rPr>
              <w:t>发生泄漏时，未能及时应急处置，导致人员中毒，遇火源发生火灾、爆炸</w:t>
            </w:r>
            <w:r>
              <w:rPr>
                <w:rFonts w:ascii="Times New Roman" w:hAnsi="Times New Roman" w:cs="Times New Roman"/>
                <w:kern w:val="0"/>
                <w:szCs w:val="21"/>
              </w:rPr>
              <w:t>。</w:t>
            </w:r>
          </w:p>
        </w:tc>
        <w:tc>
          <w:tcPr>
            <w:tcW w:w="506" w:type="pct"/>
            <w:tcBorders>
              <w:tl2br w:val="nil"/>
              <w:tr2bl w:val="nil"/>
            </w:tcBorders>
            <w:vAlign w:val="center"/>
          </w:tcPr>
          <w:p>
            <w:pPr>
              <w:jc w:val="center"/>
              <w:rPr>
                <w:rFonts w:ascii="Times New Roman" w:hAnsi="Times New Roman" w:cs="Times New Roman"/>
                <w:kern w:val="0"/>
                <w:szCs w:val="21"/>
              </w:rPr>
            </w:pPr>
            <w:r>
              <w:rPr>
                <w:rFonts w:hint="eastAsia" w:ascii="Times New Roman" w:hAnsi="Times New Roman" w:cs="Times New Roman"/>
                <w:szCs w:val="21"/>
              </w:rPr>
              <w:t>0</w:t>
            </w:r>
            <w:r>
              <w:rPr>
                <w:rFonts w:ascii="Times New Roman" w:hAnsi="Times New Roman" w:cs="Times New Roman"/>
                <w:szCs w:val="21"/>
              </w:rPr>
              <w:t>302</w:t>
            </w:r>
          </w:p>
        </w:tc>
        <w:tc>
          <w:tcPr>
            <w:tcW w:w="1467" w:type="pct"/>
            <w:tcBorders>
              <w:tl2br w:val="nil"/>
              <w:tr2bl w:val="nil"/>
            </w:tcBorders>
            <w:vAlign w:val="center"/>
          </w:tcPr>
          <w:p>
            <w:pPr>
              <w:rPr>
                <w:rFonts w:ascii="Times New Roman" w:hAnsi="Times New Roman" w:cs="Times New Roman"/>
                <w:szCs w:val="21"/>
              </w:rPr>
            </w:pPr>
            <w:r>
              <w:rPr>
                <w:rFonts w:ascii="Times New Roman" w:hAnsi="Times New Roman" w:cs="Times New Roman"/>
                <w:kern w:val="0"/>
                <w:szCs w:val="21"/>
              </w:rPr>
              <w:t>液氨罐上方必须设置水喷淋装置，下方四周设置防泄漏围堰并设有事故水池。</w:t>
            </w:r>
          </w:p>
        </w:tc>
        <w:tc>
          <w:tcPr>
            <w:tcW w:w="782" w:type="pct"/>
            <w:tcBorders>
              <w:tl2br w:val="nil"/>
              <w:tr2bl w:val="nil"/>
            </w:tcBorders>
            <w:vAlign w:val="center"/>
          </w:tcPr>
          <w:p>
            <w:pPr>
              <w:jc w:val="center"/>
              <w:rPr>
                <w:rFonts w:ascii="Times New Roman" w:hAnsi="Times New Roman" w:cs="Times New Roman"/>
                <w:kern w:val="0"/>
                <w:szCs w:val="21"/>
              </w:rPr>
            </w:pPr>
            <w:bookmarkStart w:id="0" w:name="OLE_LINK5"/>
            <w:bookmarkStart w:id="1" w:name="OLE_LINK6"/>
            <w:r>
              <w:rPr>
                <w:rFonts w:ascii="Times New Roman" w:hAnsi="Times New Roman" w:cs="Times New Roman"/>
                <w:kern w:val="0"/>
                <w:szCs w:val="21"/>
              </w:rPr>
              <w:t>GB50072-2010</w:t>
            </w:r>
            <w:bookmarkEnd w:id="0"/>
            <w:bookmarkEnd w:id="1"/>
          </w:p>
          <w:p>
            <w:pPr>
              <w:jc w:val="center"/>
              <w:rPr>
                <w:rFonts w:ascii="Times New Roman" w:hAnsi="Times New Roman" w:cs="Times New Roman"/>
                <w:szCs w:val="21"/>
              </w:rPr>
            </w:pPr>
            <w:r>
              <w:rPr>
                <w:rFonts w:hint="eastAsia" w:ascii="Times New Roman" w:hAnsi="Times New Roman" w:cs="Times New Roman"/>
                <w:kern w:val="0"/>
                <w:szCs w:val="21"/>
              </w:rPr>
              <w:t>第</w:t>
            </w:r>
            <w:r>
              <w:rPr>
                <w:rFonts w:ascii="Times New Roman" w:hAnsi="Times New Roman" w:cs="Times New Roman"/>
                <w:kern w:val="0"/>
                <w:szCs w:val="21"/>
              </w:rPr>
              <w:t>8.3.4</w:t>
            </w:r>
            <w:r>
              <w:rPr>
                <w:rFonts w:hint="eastAsia" w:ascii="Times New Roman" w:hAnsi="Times New Roman" w:cs="Times New Roman"/>
                <w:kern w:val="0"/>
                <w:szCs w:val="21"/>
              </w:rPr>
              <w:t>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2"/>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kern w:val="0"/>
                <w:szCs w:val="21"/>
              </w:rPr>
              <w:t>氨机房</w:t>
            </w:r>
          </w:p>
        </w:tc>
        <w:tc>
          <w:tcPr>
            <w:tcW w:w="846" w:type="pct"/>
            <w:tcBorders>
              <w:tl2br w:val="nil"/>
              <w:tr2bl w:val="nil"/>
            </w:tcBorders>
            <w:vAlign w:val="center"/>
          </w:tcPr>
          <w:p>
            <w:pPr>
              <w:rPr>
                <w:rFonts w:ascii="Times New Roman" w:hAnsi="Times New Roman" w:cs="Times New Roman"/>
                <w:kern w:val="0"/>
                <w:szCs w:val="21"/>
              </w:rPr>
            </w:pPr>
            <w:r>
              <w:rPr>
                <w:rFonts w:hint="eastAsia" w:ascii="Times New Roman" w:hAnsi="Times New Roman" w:cs="Times New Roman"/>
                <w:kern w:val="0"/>
                <w:szCs w:val="21"/>
              </w:rPr>
              <w:t>发生泄漏时，未能及时应急处置，导致人员中毒，遇火源发生火灾、爆炸</w:t>
            </w:r>
            <w:r>
              <w:rPr>
                <w:rFonts w:ascii="Times New Roman" w:hAnsi="Times New Roman" w:cs="Times New Roman"/>
                <w:kern w:val="0"/>
                <w:szCs w:val="21"/>
              </w:rPr>
              <w:t>。</w:t>
            </w:r>
          </w:p>
        </w:tc>
        <w:tc>
          <w:tcPr>
            <w:tcW w:w="506" w:type="pct"/>
            <w:tcBorders>
              <w:tl2br w:val="nil"/>
              <w:tr2bl w:val="nil"/>
            </w:tcBorders>
            <w:vAlign w:val="center"/>
          </w:tcPr>
          <w:p>
            <w:pPr>
              <w:jc w:val="center"/>
              <w:rPr>
                <w:rFonts w:ascii="Times New Roman" w:hAnsi="Times New Roman" w:cs="Times New Roman"/>
                <w:kern w:val="0"/>
                <w:szCs w:val="21"/>
              </w:rPr>
            </w:pPr>
            <w:r>
              <w:rPr>
                <w:rFonts w:hint="eastAsia" w:ascii="Times New Roman" w:hAnsi="Times New Roman" w:cs="Times New Roman"/>
                <w:kern w:val="0"/>
                <w:szCs w:val="21"/>
              </w:rPr>
              <w:t>0</w:t>
            </w:r>
            <w:r>
              <w:rPr>
                <w:rFonts w:ascii="Times New Roman" w:hAnsi="Times New Roman" w:cs="Times New Roman"/>
                <w:kern w:val="0"/>
                <w:szCs w:val="21"/>
              </w:rPr>
              <w:t>302</w:t>
            </w:r>
          </w:p>
        </w:tc>
        <w:tc>
          <w:tcPr>
            <w:tcW w:w="1467" w:type="pct"/>
            <w:tcBorders>
              <w:tl2br w:val="nil"/>
              <w:tr2bl w:val="nil"/>
            </w:tcBorders>
            <w:vAlign w:val="center"/>
          </w:tcPr>
          <w:p>
            <w:pPr>
              <w:rPr>
                <w:rFonts w:ascii="Times New Roman" w:hAnsi="Times New Roman" w:cs="Times New Roman"/>
                <w:kern w:val="0"/>
                <w:szCs w:val="21"/>
              </w:rPr>
            </w:pPr>
            <w:r>
              <w:rPr>
                <w:rFonts w:hint="eastAsia" w:ascii="Times New Roman" w:hAnsi="Times New Roman" w:cs="Times New Roman"/>
                <w:kern w:val="0"/>
                <w:szCs w:val="21"/>
              </w:rPr>
              <w:t>生产、使用氨气的车间及贮氨场所应设置氨气泄漏检测报警仪，使用防爆型的通风系统和设备，应至少配备两套正压式空气呼吸器、长管式防毒面具、重型防护服等防护器具。戴化学安全防护眼镜，穿防静电工作服，戴橡胶手套。工作场所浓度超标时，操作人员应该佩戴过滤式防毒面具。</w:t>
            </w:r>
          </w:p>
        </w:tc>
        <w:tc>
          <w:tcPr>
            <w:tcW w:w="782" w:type="pct"/>
            <w:tcBorders>
              <w:tl2br w:val="nil"/>
              <w:tr2bl w:val="nil"/>
            </w:tcBorders>
            <w:vAlign w:val="center"/>
          </w:tcPr>
          <w:p>
            <w:pPr>
              <w:jc w:val="center"/>
              <w:rPr>
                <w:rFonts w:ascii="Times New Roman" w:hAnsi="Times New Roman" w:cs="Times New Roman"/>
                <w:kern w:val="0"/>
                <w:szCs w:val="21"/>
              </w:rPr>
            </w:pPr>
            <w:r>
              <w:rPr>
                <w:rFonts w:hint="eastAsia" w:ascii="Times New Roman" w:hAnsi="Times New Roman" w:cs="Times New Roman"/>
                <w:kern w:val="0"/>
                <w:szCs w:val="21"/>
              </w:rPr>
              <w:t>首批重点监管的危险化学品安全措施和应急处置原则的通知</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8"/>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动火作业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3"/>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动火作业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未经许可作业或交叉作业发生事故。</w:t>
            </w:r>
          </w:p>
        </w:tc>
        <w:tc>
          <w:tcPr>
            <w:tcW w:w="506"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0</w:t>
            </w:r>
            <w:r>
              <w:rPr>
                <w:rFonts w:ascii="Times New Roman" w:hAnsi="Times New Roman"/>
                <w:bCs/>
                <w:szCs w:val="21"/>
              </w:rPr>
              <w:t>315</w:t>
            </w:r>
          </w:p>
        </w:tc>
        <w:tc>
          <w:tcPr>
            <w:tcW w:w="1467" w:type="pct"/>
            <w:tcBorders>
              <w:tl2br w:val="nil"/>
              <w:tr2bl w:val="nil"/>
            </w:tcBorders>
            <w:vAlign w:val="center"/>
          </w:tcPr>
          <w:p>
            <w:pPr>
              <w:spacing w:line="240" w:lineRule="atLeast"/>
              <w:rPr>
                <w:rFonts w:ascii="宋体" w:hAnsi="宋体" w:eastAsia="宋体"/>
                <w:szCs w:val="21"/>
              </w:rPr>
            </w:pPr>
            <w:r>
              <w:rPr>
                <w:rFonts w:hint="eastAsia" w:ascii="Times New Roman" w:hAnsi="Times New Roman"/>
                <w:bCs/>
                <w:szCs w:val="21"/>
              </w:rPr>
              <w:t>应办理作业审批手续，并有相关责任人签名确认，同一作业涉及动火、进入受限空间、盲板抽堵、高处作业、吊装、临时用电、动土、断路中的两种或两种以上时应同时办理相应的作业审批手续。</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DB32∕T 3403-2018</w:t>
            </w:r>
          </w:p>
          <w:p>
            <w:pPr>
              <w:spacing w:line="240" w:lineRule="atLeast"/>
              <w:jc w:val="center"/>
              <w:rPr>
                <w:rFonts w:ascii="宋体" w:hAnsi="宋体" w:eastAsia="宋体"/>
                <w:kern w:val="44"/>
                <w:szCs w:val="21"/>
              </w:rPr>
            </w:pPr>
            <w:r>
              <w:rPr>
                <w:rFonts w:hint="eastAsia" w:ascii="Times New Roman" w:hAnsi="Times New Roman"/>
                <w:bCs/>
                <w:szCs w:val="21"/>
              </w:rPr>
              <w:t>第5</w:t>
            </w:r>
            <w:r>
              <w:rPr>
                <w:rFonts w:ascii="Times New Roman" w:hAnsi="Times New Roman"/>
                <w:bCs/>
                <w:szCs w:val="21"/>
              </w:rPr>
              <w:t>.1.4</w:t>
            </w:r>
            <w:r>
              <w:rPr>
                <w:rFonts w:hint="eastAsia" w:ascii="Times New Roman" w:hAnsi="Times New Roman"/>
                <w:bCs/>
                <w:szCs w:val="21"/>
              </w:rPr>
              <w:t>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3"/>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动火作业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动火时引燃可燃物或可燃气体聚集发生火灾爆炸事故。</w:t>
            </w:r>
          </w:p>
        </w:tc>
        <w:tc>
          <w:tcPr>
            <w:tcW w:w="506"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0</w:t>
            </w:r>
            <w:r>
              <w:rPr>
                <w:rFonts w:ascii="Times New Roman" w:hAnsi="Times New Roman"/>
                <w:bCs/>
                <w:szCs w:val="21"/>
              </w:rPr>
              <w:t>315</w:t>
            </w:r>
          </w:p>
        </w:tc>
        <w:tc>
          <w:tcPr>
            <w:tcW w:w="1467" w:type="pct"/>
            <w:tcBorders>
              <w:tl2br w:val="nil"/>
              <w:tr2bl w:val="nil"/>
            </w:tcBorders>
            <w:vAlign w:val="center"/>
          </w:tcPr>
          <w:p>
            <w:pPr>
              <w:spacing w:line="240" w:lineRule="atLeast"/>
              <w:rPr>
                <w:rFonts w:ascii="宋体" w:hAnsi="宋体" w:eastAsia="宋体"/>
                <w:szCs w:val="21"/>
              </w:rPr>
            </w:pPr>
            <w:r>
              <w:rPr>
                <w:rFonts w:hint="eastAsia" w:ascii="Times New Roman" w:hAnsi="Times New Roman"/>
                <w:bCs/>
                <w:szCs w:val="21"/>
              </w:rPr>
              <w:t>按相关规定或方案对用火部位实行管道封堵、设置盲板、惰性气体转换等硬隔离措施。盛装或者残留的物料对作业存在危害时，应当在作业前对物料进行清理、清洗或者置换。</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DB32∕T 3403-2018</w:t>
            </w:r>
          </w:p>
          <w:p>
            <w:pPr>
              <w:spacing w:line="240" w:lineRule="atLeast"/>
              <w:jc w:val="center"/>
              <w:rPr>
                <w:rFonts w:ascii="宋体" w:hAnsi="宋体" w:eastAsia="宋体"/>
                <w:kern w:val="44"/>
                <w:szCs w:val="21"/>
              </w:rPr>
            </w:pPr>
            <w:r>
              <w:rPr>
                <w:rFonts w:hint="eastAsia" w:ascii="Times New Roman" w:hAnsi="Times New Roman"/>
                <w:bCs/>
                <w:szCs w:val="21"/>
              </w:rPr>
              <w:t>第5</w:t>
            </w:r>
            <w:r>
              <w:rPr>
                <w:rFonts w:ascii="Times New Roman" w:hAnsi="Times New Roman"/>
                <w:bCs/>
                <w:szCs w:val="21"/>
              </w:rPr>
              <w:t>.3.4</w:t>
            </w:r>
            <w:r>
              <w:rPr>
                <w:rFonts w:hint="eastAsia" w:ascii="Times New Roman" w:hAnsi="Times New Roman"/>
                <w:bCs/>
                <w:szCs w:val="21"/>
              </w:rPr>
              <w:t>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3"/>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动火作业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动火时引燃可燃物或可燃气体聚集发生火灾爆炸事故。</w:t>
            </w:r>
          </w:p>
        </w:tc>
        <w:tc>
          <w:tcPr>
            <w:tcW w:w="506" w:type="pct"/>
            <w:tcBorders>
              <w:tl2br w:val="nil"/>
              <w:tr2bl w:val="nil"/>
            </w:tcBorders>
            <w:vAlign w:val="center"/>
          </w:tcPr>
          <w:p>
            <w:pPr>
              <w:spacing w:line="240" w:lineRule="atLeast"/>
              <w:jc w:val="center"/>
              <w:rPr>
                <w:rFonts w:ascii="宋体" w:eastAsia="宋体" w:cs="宋体"/>
                <w:kern w:val="0"/>
                <w:szCs w:val="21"/>
              </w:rPr>
            </w:pPr>
            <w:r>
              <w:rPr>
                <w:rFonts w:hint="eastAsia" w:ascii="Times New Roman" w:hAnsi="Times New Roman"/>
                <w:bCs/>
                <w:szCs w:val="21"/>
              </w:rPr>
              <w:t>0</w:t>
            </w:r>
            <w:r>
              <w:rPr>
                <w:rFonts w:ascii="Times New Roman" w:hAnsi="Times New Roman"/>
                <w:bCs/>
                <w:szCs w:val="21"/>
              </w:rPr>
              <w:t>315</w:t>
            </w:r>
          </w:p>
        </w:tc>
        <w:tc>
          <w:tcPr>
            <w:tcW w:w="1467" w:type="pct"/>
            <w:tcBorders>
              <w:tl2br w:val="nil"/>
              <w:tr2bl w:val="nil"/>
            </w:tcBorders>
            <w:vAlign w:val="center"/>
          </w:tcPr>
          <w:p>
            <w:pPr>
              <w:spacing w:line="240" w:lineRule="atLeast"/>
              <w:rPr>
                <w:rFonts w:ascii="宋体" w:hAnsi="宋体" w:eastAsia="宋体"/>
                <w:szCs w:val="21"/>
              </w:rPr>
            </w:pPr>
            <w:r>
              <w:rPr>
                <w:rFonts w:hint="eastAsia" w:ascii="宋体" w:eastAsia="宋体" w:cs="宋体"/>
                <w:kern w:val="0"/>
                <w:szCs w:val="21"/>
              </w:rPr>
              <w:t>动火点周围或其下方的地面如有可燃物、空洞、窨井、地沟、水封等应采取可靠隔离措施。</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DB32∕T 3403-2018</w:t>
            </w:r>
          </w:p>
          <w:p>
            <w:pPr>
              <w:spacing w:line="240" w:lineRule="atLeast"/>
              <w:jc w:val="center"/>
              <w:rPr>
                <w:rFonts w:ascii="宋体" w:hAnsi="宋体" w:eastAsia="宋体"/>
                <w:kern w:val="44"/>
                <w:szCs w:val="21"/>
              </w:rPr>
            </w:pPr>
            <w:r>
              <w:rPr>
                <w:rFonts w:hint="eastAsia" w:ascii="Times New Roman" w:hAnsi="Times New Roman"/>
                <w:bCs/>
                <w:szCs w:val="21"/>
              </w:rPr>
              <w:t>第5</w:t>
            </w:r>
            <w:r>
              <w:rPr>
                <w:rFonts w:ascii="Times New Roman" w:hAnsi="Times New Roman"/>
                <w:bCs/>
                <w:szCs w:val="21"/>
              </w:rPr>
              <w:t>.3.5</w:t>
            </w:r>
            <w:r>
              <w:rPr>
                <w:rFonts w:hint="eastAsia" w:ascii="Times New Roman" w:hAnsi="Times New Roman"/>
                <w:bCs/>
                <w:szCs w:val="21"/>
              </w:rPr>
              <w:t>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3"/>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动火作业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动火时可燃气体聚集发生火灾爆炸事故。</w:t>
            </w:r>
          </w:p>
        </w:tc>
        <w:tc>
          <w:tcPr>
            <w:tcW w:w="506"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0</w:t>
            </w:r>
            <w:r>
              <w:rPr>
                <w:rFonts w:ascii="Times New Roman" w:hAnsi="Times New Roman"/>
                <w:bCs/>
                <w:szCs w:val="21"/>
              </w:rPr>
              <w:t>315</w:t>
            </w:r>
          </w:p>
        </w:tc>
        <w:tc>
          <w:tcPr>
            <w:tcW w:w="1467" w:type="pct"/>
            <w:tcBorders>
              <w:tl2br w:val="nil"/>
              <w:tr2bl w:val="nil"/>
            </w:tcBorders>
            <w:vAlign w:val="center"/>
          </w:tcPr>
          <w:p>
            <w:pPr>
              <w:spacing w:line="240" w:lineRule="atLeast"/>
              <w:rPr>
                <w:rFonts w:ascii="宋体" w:hAnsi="宋体" w:eastAsia="宋体"/>
                <w:szCs w:val="21"/>
              </w:rPr>
            </w:pPr>
            <w:r>
              <w:rPr>
                <w:rFonts w:hint="eastAsia" w:ascii="Times New Roman" w:hAnsi="Times New Roman"/>
                <w:bCs/>
                <w:szCs w:val="21"/>
              </w:rPr>
              <w:t>凡在盛有或盛装过危险化学品的设备、管道等生产、储存设施及处于甲、乙类区域的生产设备上动火作业，应将其与生产系统彻底隔离，并进行清洗、置换，取样分析合格后方可作业。</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DB32∕T 3403-2018</w:t>
            </w:r>
          </w:p>
          <w:p>
            <w:pPr>
              <w:spacing w:line="240" w:lineRule="atLeast"/>
              <w:jc w:val="center"/>
              <w:rPr>
                <w:rFonts w:ascii="宋体" w:hAnsi="宋体" w:eastAsia="宋体"/>
                <w:kern w:val="44"/>
                <w:szCs w:val="21"/>
              </w:rPr>
            </w:pPr>
            <w:r>
              <w:rPr>
                <w:rFonts w:hint="eastAsia" w:ascii="Times New Roman" w:hAnsi="Times New Roman"/>
                <w:bCs/>
                <w:szCs w:val="21"/>
              </w:rPr>
              <w:t>第5</w:t>
            </w:r>
            <w:r>
              <w:rPr>
                <w:rFonts w:ascii="Times New Roman" w:hAnsi="Times New Roman"/>
                <w:bCs/>
                <w:szCs w:val="21"/>
              </w:rPr>
              <w:t>.3.6</w:t>
            </w:r>
            <w:r>
              <w:rPr>
                <w:rFonts w:hint="eastAsia" w:ascii="Times New Roman" w:hAnsi="Times New Roman"/>
                <w:bCs/>
                <w:szCs w:val="21"/>
              </w:rPr>
              <w:t>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3"/>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动火作业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动火时可燃气体聚集发生火灾爆炸事故。</w:t>
            </w:r>
          </w:p>
        </w:tc>
        <w:tc>
          <w:tcPr>
            <w:tcW w:w="506" w:type="pct"/>
            <w:tcBorders>
              <w:tl2br w:val="nil"/>
              <w:tr2bl w:val="nil"/>
            </w:tcBorders>
            <w:vAlign w:val="center"/>
          </w:tcPr>
          <w:p>
            <w:pPr>
              <w:spacing w:line="240" w:lineRule="atLeast"/>
              <w:jc w:val="center"/>
              <w:rPr>
                <w:rFonts w:ascii="宋体" w:eastAsia="宋体" w:cs="宋体"/>
                <w:kern w:val="0"/>
                <w:szCs w:val="21"/>
              </w:rPr>
            </w:pPr>
            <w:r>
              <w:rPr>
                <w:rFonts w:hint="eastAsia" w:ascii="Times New Roman" w:hAnsi="Times New Roman"/>
                <w:bCs/>
                <w:szCs w:val="21"/>
              </w:rPr>
              <w:t>0</w:t>
            </w:r>
            <w:r>
              <w:rPr>
                <w:rFonts w:ascii="Times New Roman" w:hAnsi="Times New Roman"/>
                <w:bCs/>
                <w:szCs w:val="21"/>
              </w:rPr>
              <w:t>315</w:t>
            </w:r>
          </w:p>
        </w:tc>
        <w:tc>
          <w:tcPr>
            <w:tcW w:w="1467" w:type="pct"/>
            <w:tcBorders>
              <w:tl2br w:val="nil"/>
              <w:tr2bl w:val="nil"/>
            </w:tcBorders>
            <w:vAlign w:val="center"/>
          </w:tcPr>
          <w:p>
            <w:pPr>
              <w:spacing w:line="240" w:lineRule="atLeast"/>
              <w:rPr>
                <w:rFonts w:ascii="宋体" w:hAnsi="宋体" w:eastAsia="宋体"/>
                <w:szCs w:val="21"/>
              </w:rPr>
            </w:pPr>
            <w:r>
              <w:rPr>
                <w:rFonts w:hint="eastAsia" w:ascii="宋体" w:eastAsia="宋体" w:cs="宋体"/>
                <w:kern w:val="0"/>
                <w:szCs w:val="21"/>
              </w:rPr>
              <w:t>动火期间距动火作业点</w:t>
            </w:r>
            <w:r>
              <w:rPr>
                <w:rFonts w:ascii="宋体" w:eastAsia="宋体" w:cs="宋体"/>
                <w:kern w:val="0"/>
                <w:szCs w:val="21"/>
              </w:rPr>
              <w:t>30m</w:t>
            </w:r>
            <w:r>
              <w:rPr>
                <w:rFonts w:hint="eastAsia" w:ascii="宋体" w:eastAsia="宋体" w:cs="宋体"/>
                <w:kern w:val="0"/>
                <w:szCs w:val="21"/>
              </w:rPr>
              <w:t>内不应排放可燃气体，距动火点</w:t>
            </w:r>
            <w:r>
              <w:rPr>
                <w:rFonts w:ascii="宋体" w:eastAsia="宋体" w:cs="宋体"/>
                <w:kern w:val="0"/>
                <w:szCs w:val="21"/>
              </w:rPr>
              <w:t>15m</w:t>
            </w:r>
            <w:r>
              <w:rPr>
                <w:rFonts w:hint="eastAsia" w:ascii="宋体" w:eastAsia="宋体" w:cs="宋体"/>
                <w:kern w:val="0"/>
                <w:szCs w:val="21"/>
              </w:rPr>
              <w:t>内不应排放可燃液体，在动火点</w:t>
            </w:r>
            <w:r>
              <w:rPr>
                <w:rFonts w:ascii="宋体" w:eastAsia="宋体" w:cs="宋体"/>
                <w:kern w:val="0"/>
                <w:szCs w:val="21"/>
              </w:rPr>
              <w:t>10m</w:t>
            </w:r>
            <w:r>
              <w:rPr>
                <w:rFonts w:hint="eastAsia" w:ascii="宋体" w:eastAsia="宋体" w:cs="宋体"/>
                <w:kern w:val="0"/>
                <w:szCs w:val="21"/>
              </w:rPr>
              <w:t>范围内及用火点下方不应同时进行可燃溶剂清洗或喷漆等作业。</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DB32∕T 3403-2018</w:t>
            </w:r>
          </w:p>
          <w:p>
            <w:pPr>
              <w:spacing w:line="240" w:lineRule="atLeast"/>
              <w:jc w:val="center"/>
              <w:rPr>
                <w:rFonts w:ascii="宋体" w:hAnsi="宋体" w:eastAsia="宋体"/>
                <w:kern w:val="44"/>
                <w:szCs w:val="21"/>
              </w:rPr>
            </w:pPr>
            <w:r>
              <w:rPr>
                <w:rFonts w:hint="eastAsia" w:ascii="Times New Roman" w:hAnsi="Times New Roman"/>
                <w:bCs/>
                <w:szCs w:val="21"/>
              </w:rPr>
              <w:t>第5</w:t>
            </w:r>
            <w:r>
              <w:rPr>
                <w:rFonts w:ascii="Times New Roman" w:hAnsi="Times New Roman"/>
                <w:bCs/>
                <w:szCs w:val="21"/>
              </w:rPr>
              <w:t>.3.7</w:t>
            </w:r>
            <w:r>
              <w:rPr>
                <w:rFonts w:hint="eastAsia" w:ascii="Times New Roman" w:hAnsi="Times New Roman"/>
                <w:bCs/>
                <w:szCs w:val="21"/>
              </w:rPr>
              <w:t>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3"/>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动火作业</w:t>
            </w:r>
          </w:p>
        </w:tc>
        <w:tc>
          <w:tcPr>
            <w:tcW w:w="846" w:type="pct"/>
            <w:tcBorders>
              <w:tl2br w:val="nil"/>
              <w:tr2bl w:val="nil"/>
            </w:tcBorders>
            <w:vAlign w:val="center"/>
          </w:tcPr>
          <w:p>
            <w:pPr>
              <w:spacing w:line="240" w:lineRule="atLeast"/>
              <w:rPr>
                <w:rFonts w:ascii="Times New Roman" w:hAnsi="Times New Roman"/>
                <w:bCs/>
                <w:szCs w:val="21"/>
              </w:rPr>
            </w:pPr>
            <w:r>
              <w:rPr>
                <w:rFonts w:hint="eastAsia" w:ascii="Times New Roman" w:hAnsi="Times New Roman"/>
                <w:bCs/>
                <w:szCs w:val="21"/>
              </w:rPr>
              <w:t>动火时可燃气体聚集发生火灾爆炸事故。</w:t>
            </w:r>
          </w:p>
        </w:tc>
        <w:tc>
          <w:tcPr>
            <w:tcW w:w="506" w:type="pct"/>
            <w:tcBorders>
              <w:tl2br w:val="nil"/>
              <w:tr2bl w:val="nil"/>
            </w:tcBorders>
            <w:vAlign w:val="center"/>
          </w:tcPr>
          <w:p>
            <w:pPr>
              <w:spacing w:line="240" w:lineRule="atLeast"/>
              <w:jc w:val="center"/>
              <w:rPr>
                <w:rFonts w:ascii="宋体" w:eastAsia="宋体" w:cs="宋体"/>
                <w:kern w:val="0"/>
                <w:szCs w:val="21"/>
              </w:rPr>
            </w:pPr>
            <w:r>
              <w:rPr>
                <w:rFonts w:hint="eastAsia" w:ascii="Times New Roman" w:hAnsi="Times New Roman"/>
                <w:bCs/>
                <w:szCs w:val="21"/>
              </w:rPr>
              <w:t>0</w:t>
            </w:r>
            <w:r>
              <w:rPr>
                <w:rFonts w:ascii="Times New Roman" w:hAnsi="Times New Roman"/>
                <w:bCs/>
                <w:szCs w:val="21"/>
              </w:rPr>
              <w:t>315</w:t>
            </w:r>
          </w:p>
        </w:tc>
        <w:tc>
          <w:tcPr>
            <w:tcW w:w="1467" w:type="pct"/>
            <w:tcBorders>
              <w:tl2br w:val="nil"/>
              <w:tr2bl w:val="nil"/>
            </w:tcBorders>
            <w:vAlign w:val="center"/>
          </w:tcPr>
          <w:p>
            <w:pPr>
              <w:spacing w:line="240" w:lineRule="atLeast"/>
              <w:rPr>
                <w:rFonts w:ascii="宋体" w:eastAsia="宋体" w:cs="宋体"/>
                <w:kern w:val="0"/>
                <w:szCs w:val="21"/>
              </w:rPr>
            </w:pPr>
            <w:r>
              <w:rPr>
                <w:rFonts w:hint="eastAsia" w:ascii="宋体" w:eastAsia="宋体" w:cs="宋体"/>
                <w:kern w:val="0"/>
                <w:szCs w:val="21"/>
              </w:rPr>
              <w:t>作业前应进行动火分析,要求如下：</w:t>
            </w:r>
          </w:p>
          <w:p>
            <w:pPr>
              <w:spacing w:line="240" w:lineRule="atLeast"/>
              <w:rPr>
                <w:rFonts w:ascii="宋体" w:eastAsia="宋体" w:cs="宋体"/>
                <w:kern w:val="0"/>
                <w:szCs w:val="21"/>
              </w:rPr>
            </w:pPr>
            <w:r>
              <w:rPr>
                <w:rFonts w:hint="eastAsia" w:ascii="宋体" w:eastAsia="宋体" w:cs="宋体"/>
                <w:kern w:val="0"/>
                <w:szCs w:val="21"/>
              </w:rPr>
              <w:t>a)动火分析的监测点要有代表性,在较大的设备内动火,应对上、中、下各部位进行监测分析；在较长的物料管线上动火,应在彻底隔绝区域内分段分析；</w:t>
            </w:r>
          </w:p>
          <w:p>
            <w:pPr>
              <w:spacing w:line="240" w:lineRule="atLeast"/>
              <w:rPr>
                <w:rFonts w:ascii="宋体" w:eastAsia="宋体" w:cs="宋体"/>
                <w:kern w:val="0"/>
                <w:szCs w:val="21"/>
              </w:rPr>
            </w:pPr>
            <w:r>
              <w:rPr>
                <w:rFonts w:hint="eastAsia" w:ascii="宋体" w:eastAsia="宋体" w:cs="宋体"/>
                <w:kern w:val="0"/>
                <w:szCs w:val="21"/>
              </w:rPr>
              <w:t>b)在设备外部动火,应在不小于动火点10m范围进行动火分析；</w:t>
            </w:r>
          </w:p>
          <w:p>
            <w:pPr>
              <w:spacing w:line="240" w:lineRule="atLeast"/>
              <w:rPr>
                <w:rFonts w:ascii="宋体" w:eastAsia="宋体" w:cs="宋体"/>
                <w:kern w:val="0"/>
                <w:szCs w:val="21"/>
              </w:rPr>
            </w:pPr>
            <w:r>
              <w:rPr>
                <w:rFonts w:hint="eastAsia" w:ascii="宋体" w:eastAsia="宋体" w:cs="宋体"/>
                <w:kern w:val="0"/>
                <w:szCs w:val="21"/>
              </w:rPr>
              <w:t>c)动火分析与动火作业间隔一般不超过30min ,如现场条件不允许,间隔时间可适当放宽,但不应超过60min；</w:t>
            </w:r>
          </w:p>
          <w:p>
            <w:pPr>
              <w:spacing w:line="240" w:lineRule="atLeast"/>
              <w:rPr>
                <w:rFonts w:ascii="宋体" w:eastAsia="宋体" w:cs="宋体"/>
                <w:kern w:val="0"/>
                <w:szCs w:val="21"/>
              </w:rPr>
            </w:pPr>
            <w:r>
              <w:rPr>
                <w:rFonts w:hint="eastAsia" w:ascii="宋体" w:eastAsia="宋体" w:cs="宋体"/>
                <w:kern w:val="0"/>
                <w:szCs w:val="21"/>
              </w:rPr>
              <w:t>d )作业中断时间超过60min ,应重新分析,每日动火前均应进行动火分析；特殊动火作业期间应随时进行检测；</w:t>
            </w:r>
          </w:p>
          <w:p>
            <w:pPr>
              <w:spacing w:line="240" w:lineRule="atLeast"/>
              <w:rPr>
                <w:rFonts w:ascii="宋体" w:eastAsia="宋体" w:cs="宋体"/>
                <w:kern w:val="0"/>
                <w:szCs w:val="21"/>
              </w:rPr>
            </w:pPr>
            <w:r>
              <w:rPr>
                <w:rFonts w:hint="eastAsia" w:ascii="宋体" w:eastAsia="宋体" w:cs="宋体"/>
                <w:kern w:val="0"/>
                <w:szCs w:val="21"/>
              </w:rPr>
              <w:t>e)使用便携式可燃气体检测仪或其他类似手段进行分析时, 检测设备应经标准气体用品标定合格。</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ascii="Times New Roman" w:hAnsi="Times New Roman"/>
                <w:bCs/>
                <w:szCs w:val="21"/>
              </w:rPr>
              <w:t>GB30871-2014</w:t>
            </w:r>
          </w:p>
          <w:p>
            <w:pPr>
              <w:spacing w:line="240" w:lineRule="atLeast"/>
              <w:jc w:val="center"/>
              <w:rPr>
                <w:rFonts w:ascii="Times New Roman" w:hAnsi="Times New Roman"/>
                <w:bCs/>
                <w:szCs w:val="21"/>
              </w:rPr>
            </w:pPr>
            <w:r>
              <w:rPr>
                <w:rFonts w:hint="eastAsia" w:ascii="Times New Roman" w:hAnsi="Times New Roman"/>
                <w:bCs/>
                <w:szCs w:val="21"/>
              </w:rPr>
              <w:t>第</w:t>
            </w:r>
            <w:r>
              <w:rPr>
                <w:rFonts w:hint="eastAsia" w:ascii="宋体" w:eastAsia="宋体" w:cs="宋体"/>
                <w:kern w:val="0"/>
                <w:szCs w:val="21"/>
              </w:rPr>
              <w:t>5.4.1条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8"/>
            <w:tcBorders>
              <w:tl2br w:val="nil"/>
              <w:tr2bl w:val="nil"/>
            </w:tcBorders>
            <w:vAlign w:val="center"/>
          </w:tcPr>
          <w:p>
            <w:pPr>
              <w:spacing w:line="240" w:lineRule="atLeast"/>
              <w:jc w:val="center"/>
              <w:rPr>
                <w:rFonts w:ascii="Times New Roman" w:hAnsi="Times New Roman"/>
                <w:b/>
                <w:bCs/>
                <w:szCs w:val="21"/>
              </w:rPr>
            </w:pPr>
            <w:r>
              <w:rPr>
                <w:rFonts w:hint="eastAsia" w:ascii="Times New Roman" w:hAnsi="Times New Roman"/>
                <w:b/>
                <w:bCs/>
                <w:szCs w:val="21"/>
              </w:rPr>
              <w:t>有限空间作业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4"/>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有限空间作业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未采取措施擅自进入有限空间有发生人员伤亡的风险。</w:t>
            </w:r>
          </w:p>
        </w:tc>
        <w:tc>
          <w:tcPr>
            <w:tcW w:w="506"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szCs w:val="21"/>
              </w:rPr>
              <w:t>0</w:t>
            </w:r>
            <w:r>
              <w:rPr>
                <w:rFonts w:ascii="Times New Roman" w:hAnsi="Times New Roman"/>
                <w:szCs w:val="21"/>
              </w:rPr>
              <w:t>301</w:t>
            </w:r>
          </w:p>
        </w:tc>
        <w:tc>
          <w:tcPr>
            <w:tcW w:w="1467" w:type="pct"/>
            <w:tcBorders>
              <w:tl2br w:val="nil"/>
              <w:tr2bl w:val="nil"/>
            </w:tcBorders>
            <w:vAlign w:val="center"/>
          </w:tcPr>
          <w:p>
            <w:pPr>
              <w:spacing w:line="240" w:lineRule="atLeast"/>
              <w:rPr>
                <w:rFonts w:ascii="宋体" w:hAnsi="宋体" w:eastAsia="宋体"/>
                <w:szCs w:val="21"/>
              </w:rPr>
            </w:pPr>
            <w:r>
              <w:rPr>
                <w:rFonts w:hint="eastAsia" w:ascii="Times New Roman" w:hAnsi="Times New Roman"/>
                <w:szCs w:val="21"/>
              </w:rPr>
              <w:t>应对有限空间作业进行辨识、提出防范措施，并建立有限空间管理台账。</w:t>
            </w:r>
          </w:p>
        </w:tc>
        <w:tc>
          <w:tcPr>
            <w:tcW w:w="782" w:type="pct"/>
            <w:tcBorders>
              <w:tl2br w:val="nil"/>
              <w:tr2bl w:val="nil"/>
            </w:tcBorders>
            <w:vAlign w:val="center"/>
          </w:tcPr>
          <w:p>
            <w:pPr>
              <w:spacing w:line="240" w:lineRule="atLeast"/>
              <w:jc w:val="center"/>
              <w:rPr>
                <w:rFonts w:ascii="宋体" w:hAnsi="宋体" w:eastAsia="宋体"/>
                <w:kern w:val="44"/>
                <w:szCs w:val="21"/>
              </w:rPr>
            </w:pPr>
            <w:r>
              <w:rPr>
                <w:rFonts w:hint="eastAsia" w:ascii="Times New Roman" w:hAnsi="Times New Roman" w:cs="Times New Roman"/>
                <w:szCs w:val="21"/>
              </w:rPr>
              <w:t>工贸行业重大生产安全事故隐患判定标准</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4"/>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有限空间作业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人员误入有限空间发生伤亡的风险。</w:t>
            </w:r>
          </w:p>
        </w:tc>
        <w:tc>
          <w:tcPr>
            <w:tcW w:w="506"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szCs w:val="21"/>
              </w:rPr>
              <w:t>0</w:t>
            </w:r>
            <w:r>
              <w:rPr>
                <w:rFonts w:ascii="Times New Roman" w:hAnsi="Times New Roman"/>
                <w:szCs w:val="21"/>
              </w:rPr>
              <w:t>301</w:t>
            </w:r>
          </w:p>
        </w:tc>
        <w:tc>
          <w:tcPr>
            <w:tcW w:w="1467" w:type="pct"/>
            <w:tcBorders>
              <w:tl2br w:val="nil"/>
              <w:tr2bl w:val="nil"/>
            </w:tcBorders>
            <w:vAlign w:val="center"/>
          </w:tcPr>
          <w:p>
            <w:pPr>
              <w:spacing w:line="240" w:lineRule="atLeast"/>
              <w:rPr>
                <w:rFonts w:ascii="宋体" w:hAnsi="宋体" w:eastAsia="宋体"/>
                <w:szCs w:val="21"/>
              </w:rPr>
            </w:pPr>
            <w:r>
              <w:rPr>
                <w:rFonts w:hint="eastAsia" w:ascii="Times New Roman" w:hAnsi="Times New Roman"/>
                <w:szCs w:val="21"/>
              </w:rPr>
              <w:t>应在有限空间作业场所设置明显的安全警示标志。</w:t>
            </w:r>
          </w:p>
        </w:tc>
        <w:tc>
          <w:tcPr>
            <w:tcW w:w="782" w:type="pct"/>
            <w:tcBorders>
              <w:tl2br w:val="nil"/>
              <w:tr2bl w:val="nil"/>
            </w:tcBorders>
            <w:vAlign w:val="center"/>
          </w:tcPr>
          <w:p>
            <w:pPr>
              <w:spacing w:line="240" w:lineRule="atLeast"/>
              <w:jc w:val="center"/>
              <w:rPr>
                <w:rFonts w:ascii="宋体" w:hAnsi="宋体" w:eastAsia="宋体"/>
                <w:kern w:val="44"/>
                <w:szCs w:val="21"/>
              </w:rPr>
            </w:pPr>
            <w:r>
              <w:rPr>
                <w:rFonts w:hint="eastAsia" w:ascii="Times New Roman" w:hAnsi="Times New Roman" w:cs="Times New Roman"/>
                <w:szCs w:val="21"/>
              </w:rPr>
              <w:t>工贸行业重大生产安全事故隐患判定标准</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4"/>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有限空间作业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未采取措施擅自进入有限空间有发生人员伤亡的风险。</w:t>
            </w:r>
          </w:p>
        </w:tc>
        <w:tc>
          <w:tcPr>
            <w:tcW w:w="506"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szCs w:val="21"/>
              </w:rPr>
              <w:t>0</w:t>
            </w:r>
            <w:r>
              <w:rPr>
                <w:rFonts w:ascii="Times New Roman" w:hAnsi="Times New Roman"/>
                <w:szCs w:val="21"/>
              </w:rPr>
              <w:t>301</w:t>
            </w:r>
          </w:p>
        </w:tc>
        <w:tc>
          <w:tcPr>
            <w:tcW w:w="1467" w:type="pct"/>
            <w:tcBorders>
              <w:tl2br w:val="nil"/>
              <w:tr2bl w:val="nil"/>
            </w:tcBorders>
            <w:vAlign w:val="center"/>
          </w:tcPr>
          <w:p>
            <w:pPr>
              <w:spacing w:line="240" w:lineRule="atLeast"/>
              <w:rPr>
                <w:rFonts w:ascii="宋体" w:hAnsi="宋体" w:eastAsia="宋体"/>
                <w:szCs w:val="21"/>
              </w:rPr>
            </w:pPr>
            <w:r>
              <w:rPr>
                <w:rFonts w:hint="eastAsia" w:ascii="Times New Roman" w:hAnsi="Times New Roman"/>
                <w:szCs w:val="21"/>
              </w:rPr>
              <w:t>应制定有限空间作业方案且方案应经审批。</w:t>
            </w:r>
          </w:p>
        </w:tc>
        <w:tc>
          <w:tcPr>
            <w:tcW w:w="782" w:type="pct"/>
            <w:tcBorders>
              <w:tl2br w:val="nil"/>
              <w:tr2bl w:val="nil"/>
            </w:tcBorders>
            <w:vAlign w:val="center"/>
          </w:tcPr>
          <w:p>
            <w:pPr>
              <w:spacing w:line="240" w:lineRule="atLeast"/>
              <w:jc w:val="center"/>
              <w:rPr>
                <w:rFonts w:ascii="宋体" w:hAnsi="宋体" w:eastAsia="宋体"/>
                <w:kern w:val="44"/>
                <w:szCs w:val="21"/>
              </w:rPr>
            </w:pPr>
            <w:r>
              <w:rPr>
                <w:rFonts w:hint="eastAsia" w:ascii="Times New Roman" w:hAnsi="Times New Roman" w:cs="Times New Roman"/>
                <w:szCs w:val="21"/>
              </w:rPr>
              <w:t>工贸行业重大生产安全事故隐患判定标准</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4"/>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有限空间作业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未采取措施擅自进入有限空间有发生人员伤亡的风险。</w:t>
            </w:r>
          </w:p>
        </w:tc>
        <w:tc>
          <w:tcPr>
            <w:tcW w:w="506"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szCs w:val="21"/>
              </w:rPr>
              <w:t>0</w:t>
            </w:r>
            <w:r>
              <w:rPr>
                <w:rFonts w:ascii="Times New Roman" w:hAnsi="Times New Roman"/>
                <w:szCs w:val="21"/>
              </w:rPr>
              <w:t>301</w:t>
            </w:r>
          </w:p>
        </w:tc>
        <w:tc>
          <w:tcPr>
            <w:tcW w:w="1467" w:type="pct"/>
            <w:tcBorders>
              <w:tl2br w:val="nil"/>
              <w:tr2bl w:val="nil"/>
            </w:tcBorders>
            <w:vAlign w:val="center"/>
          </w:tcPr>
          <w:p>
            <w:pPr>
              <w:spacing w:line="240" w:lineRule="atLeast"/>
              <w:rPr>
                <w:rFonts w:ascii="宋体" w:hAnsi="宋体" w:eastAsia="宋体"/>
                <w:szCs w:val="21"/>
              </w:rPr>
            </w:pPr>
            <w:r>
              <w:rPr>
                <w:rFonts w:hint="eastAsia" w:ascii="Times New Roman" w:hAnsi="Times New Roman"/>
                <w:szCs w:val="21"/>
              </w:rPr>
              <w:t>应根据有限空间存在的危险有害因素为作业人员提供符合要求的检测报警仪器、呼吸防护用品、全身式安全带等劳动防护用品。</w:t>
            </w:r>
          </w:p>
        </w:tc>
        <w:tc>
          <w:tcPr>
            <w:tcW w:w="782" w:type="pct"/>
            <w:tcBorders>
              <w:tl2br w:val="nil"/>
              <w:tr2bl w:val="nil"/>
            </w:tcBorders>
            <w:vAlign w:val="center"/>
          </w:tcPr>
          <w:p>
            <w:pPr>
              <w:spacing w:line="240" w:lineRule="atLeast"/>
              <w:jc w:val="center"/>
              <w:rPr>
                <w:rFonts w:ascii="宋体" w:hAnsi="宋体" w:eastAsia="宋体"/>
                <w:kern w:val="44"/>
                <w:szCs w:val="21"/>
              </w:rPr>
            </w:pPr>
            <w:r>
              <w:rPr>
                <w:rFonts w:hint="eastAsia" w:ascii="Times New Roman" w:hAnsi="Times New Roman" w:cs="Times New Roman"/>
                <w:szCs w:val="21"/>
              </w:rPr>
              <w:t>工贸行业重大生产安全事故隐患判定标准</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4"/>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Cs/>
                <w:szCs w:val="21"/>
              </w:rPr>
              <w:t>有限空间作业</w:t>
            </w:r>
          </w:p>
        </w:tc>
        <w:tc>
          <w:tcPr>
            <w:tcW w:w="846" w:type="pct"/>
            <w:tcBorders>
              <w:tl2br w:val="nil"/>
              <w:tr2bl w:val="nil"/>
            </w:tcBorders>
            <w:vAlign w:val="center"/>
          </w:tcPr>
          <w:p>
            <w:pPr>
              <w:spacing w:line="240" w:lineRule="atLeast"/>
              <w:rPr>
                <w:rFonts w:ascii="Times New Roman" w:hAnsi="Times New Roman"/>
                <w:szCs w:val="21"/>
              </w:rPr>
            </w:pPr>
            <w:r>
              <w:rPr>
                <w:rFonts w:hint="eastAsia" w:ascii="Times New Roman" w:hAnsi="Times New Roman"/>
                <w:bCs/>
                <w:szCs w:val="21"/>
              </w:rPr>
              <w:t>作业人员未经培训，不知道作业风险和控制措施。</w:t>
            </w:r>
          </w:p>
        </w:tc>
        <w:tc>
          <w:tcPr>
            <w:tcW w:w="506" w:type="pct"/>
            <w:tcBorders>
              <w:tl2br w:val="nil"/>
              <w:tr2bl w:val="nil"/>
            </w:tcBorders>
            <w:vAlign w:val="center"/>
          </w:tcPr>
          <w:p>
            <w:pPr>
              <w:spacing w:line="240" w:lineRule="atLeast"/>
              <w:jc w:val="center"/>
              <w:rPr>
                <w:rFonts w:ascii="宋体" w:hAnsi="宋体" w:eastAsia="宋体"/>
                <w:kern w:val="44"/>
                <w:szCs w:val="21"/>
              </w:rPr>
            </w:pPr>
            <w:r>
              <w:rPr>
                <w:rFonts w:hint="eastAsia" w:ascii="Times New Roman" w:hAnsi="Times New Roman"/>
                <w:szCs w:val="21"/>
              </w:rPr>
              <w:t>0</w:t>
            </w:r>
            <w:r>
              <w:rPr>
                <w:rFonts w:ascii="Times New Roman" w:hAnsi="Times New Roman"/>
                <w:szCs w:val="21"/>
              </w:rPr>
              <w:t>301</w:t>
            </w:r>
          </w:p>
        </w:tc>
        <w:tc>
          <w:tcPr>
            <w:tcW w:w="1467" w:type="pct"/>
            <w:tcBorders>
              <w:tl2br w:val="nil"/>
              <w:tr2bl w:val="nil"/>
            </w:tcBorders>
            <w:vAlign w:val="center"/>
          </w:tcPr>
          <w:p>
            <w:pPr>
              <w:spacing w:line="240" w:lineRule="atLeast"/>
              <w:rPr>
                <w:rFonts w:ascii="宋体" w:hAnsi="宋体" w:eastAsia="宋体"/>
                <w:szCs w:val="21"/>
              </w:rPr>
            </w:pPr>
            <w:r>
              <w:rPr>
                <w:rFonts w:hint="eastAsia" w:ascii="宋体" w:hAnsi="宋体" w:eastAsia="宋体"/>
                <w:kern w:val="44"/>
                <w:szCs w:val="21"/>
              </w:rPr>
              <w:t>作业前应将作业存在的危险有害因素和防范措施向所有参与作业的人员进行告知和培训。</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《有限空间作业安全指导手册》</w:t>
            </w:r>
          </w:p>
          <w:p>
            <w:pPr>
              <w:spacing w:line="240" w:lineRule="atLeast"/>
              <w:jc w:val="center"/>
              <w:rPr>
                <w:rFonts w:ascii="宋体" w:hAnsi="宋体" w:eastAsia="宋体"/>
                <w:kern w:val="44"/>
                <w:szCs w:val="21"/>
              </w:rPr>
            </w:pPr>
            <w:r>
              <w:rPr>
                <w:rFonts w:hint="eastAsia" w:ascii="Times New Roman" w:hAnsi="Times New Roman"/>
                <w:bCs/>
                <w:szCs w:val="21"/>
              </w:rPr>
              <w:t>第4</w:t>
            </w:r>
            <w:r>
              <w:rPr>
                <w:rFonts w:ascii="Times New Roman" w:hAnsi="Times New Roman"/>
                <w:bCs/>
                <w:szCs w:val="21"/>
              </w:rPr>
              <w:t>.1.3条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4"/>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有限空间作业</w:t>
            </w:r>
          </w:p>
        </w:tc>
        <w:tc>
          <w:tcPr>
            <w:tcW w:w="846" w:type="pct"/>
            <w:tcBorders>
              <w:tl2br w:val="nil"/>
              <w:tr2bl w:val="nil"/>
            </w:tcBorders>
            <w:vAlign w:val="center"/>
          </w:tcPr>
          <w:p>
            <w:pPr>
              <w:spacing w:line="240" w:lineRule="atLeast"/>
              <w:rPr>
                <w:rFonts w:ascii="Times New Roman" w:hAnsi="Times New Roman"/>
                <w:bCs/>
                <w:szCs w:val="21"/>
              </w:rPr>
            </w:pPr>
            <w:r>
              <w:rPr>
                <w:rFonts w:hint="eastAsia" w:ascii="Times New Roman" w:hAnsi="Times New Roman"/>
                <w:bCs/>
                <w:szCs w:val="21"/>
              </w:rPr>
              <w:t>易燃易爆环境工具或设备引发的火源或静电可能引发火灾爆炸事故。</w:t>
            </w:r>
          </w:p>
        </w:tc>
        <w:tc>
          <w:tcPr>
            <w:tcW w:w="506" w:type="pct"/>
            <w:tcBorders>
              <w:tl2br w:val="nil"/>
              <w:tr2bl w:val="nil"/>
            </w:tcBorders>
            <w:vAlign w:val="center"/>
          </w:tcPr>
          <w:p>
            <w:pPr>
              <w:spacing w:line="240" w:lineRule="atLeast"/>
              <w:jc w:val="center"/>
              <w:rPr>
                <w:rFonts w:ascii="宋体" w:eastAsia="宋体" w:cs="宋体"/>
                <w:kern w:val="0"/>
                <w:szCs w:val="21"/>
              </w:rPr>
            </w:pPr>
            <w:r>
              <w:rPr>
                <w:rFonts w:hint="eastAsia" w:ascii="Times New Roman" w:hAnsi="Times New Roman"/>
                <w:szCs w:val="21"/>
              </w:rPr>
              <w:t>0</w:t>
            </w:r>
            <w:r>
              <w:rPr>
                <w:rFonts w:ascii="Times New Roman" w:hAnsi="Times New Roman"/>
                <w:szCs w:val="21"/>
              </w:rPr>
              <w:t>301</w:t>
            </w:r>
          </w:p>
        </w:tc>
        <w:tc>
          <w:tcPr>
            <w:tcW w:w="1467" w:type="pct"/>
            <w:tcBorders>
              <w:tl2br w:val="nil"/>
              <w:tr2bl w:val="nil"/>
            </w:tcBorders>
            <w:vAlign w:val="center"/>
          </w:tcPr>
          <w:p>
            <w:pPr>
              <w:spacing w:line="240" w:lineRule="atLeast"/>
              <w:rPr>
                <w:rFonts w:ascii="宋体" w:eastAsia="宋体" w:cs="宋体"/>
                <w:kern w:val="0"/>
                <w:szCs w:val="21"/>
              </w:rPr>
            </w:pPr>
            <w:r>
              <w:rPr>
                <w:rFonts w:hint="eastAsia" w:ascii="宋体" w:eastAsia="宋体" w:cs="宋体"/>
                <w:kern w:val="0"/>
                <w:szCs w:val="21"/>
              </w:rPr>
              <w:t>当有限空间可能为易燃易爆环境时，设备和用具应符合防爆安全要求。</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《有限空间作业安全指导手册》</w:t>
            </w:r>
          </w:p>
          <w:p>
            <w:pPr>
              <w:spacing w:line="240" w:lineRule="atLeast"/>
              <w:jc w:val="center"/>
              <w:rPr>
                <w:rFonts w:ascii="Times New Roman" w:hAnsi="Times New Roman"/>
                <w:bCs/>
                <w:szCs w:val="21"/>
              </w:rPr>
            </w:pPr>
            <w:r>
              <w:rPr>
                <w:rFonts w:hint="eastAsia" w:ascii="Times New Roman" w:hAnsi="Times New Roman"/>
                <w:bCs/>
                <w:szCs w:val="21"/>
              </w:rPr>
              <w:t>第4</w:t>
            </w:r>
            <w:r>
              <w:rPr>
                <w:rFonts w:ascii="Times New Roman" w:hAnsi="Times New Roman"/>
                <w:bCs/>
                <w:szCs w:val="21"/>
              </w:rPr>
              <w:t>.2.2条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4"/>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有限空间作业</w:t>
            </w:r>
          </w:p>
        </w:tc>
        <w:tc>
          <w:tcPr>
            <w:tcW w:w="846" w:type="pct"/>
            <w:tcBorders>
              <w:tl2br w:val="nil"/>
              <w:tr2bl w:val="nil"/>
            </w:tcBorders>
            <w:vAlign w:val="center"/>
          </w:tcPr>
          <w:p>
            <w:pPr>
              <w:spacing w:line="240" w:lineRule="atLeast"/>
              <w:rPr>
                <w:rFonts w:ascii="Times New Roman" w:hAnsi="Times New Roman"/>
                <w:bCs/>
                <w:szCs w:val="21"/>
              </w:rPr>
            </w:pPr>
            <w:r>
              <w:rPr>
                <w:rFonts w:hint="eastAsia" w:ascii="Times New Roman" w:hAnsi="Times New Roman"/>
                <w:bCs/>
                <w:szCs w:val="21"/>
              </w:rPr>
              <w:t>作业前、作业中未对有毒有害物质进行检测。</w:t>
            </w:r>
          </w:p>
        </w:tc>
        <w:tc>
          <w:tcPr>
            <w:tcW w:w="506" w:type="pct"/>
            <w:tcBorders>
              <w:tl2br w:val="nil"/>
              <w:tr2bl w:val="nil"/>
            </w:tcBorders>
            <w:vAlign w:val="center"/>
          </w:tcPr>
          <w:p>
            <w:pPr>
              <w:spacing w:line="240" w:lineRule="atLeast"/>
              <w:jc w:val="center"/>
              <w:rPr>
                <w:rFonts w:ascii="宋体" w:hAnsi="宋体" w:eastAsia="宋体"/>
                <w:kern w:val="44"/>
                <w:szCs w:val="21"/>
              </w:rPr>
            </w:pPr>
            <w:r>
              <w:rPr>
                <w:rFonts w:hint="eastAsia" w:ascii="Times New Roman" w:hAnsi="Times New Roman"/>
                <w:szCs w:val="21"/>
              </w:rPr>
              <w:t>0</w:t>
            </w:r>
            <w:r>
              <w:rPr>
                <w:rFonts w:ascii="Times New Roman" w:hAnsi="Times New Roman"/>
                <w:szCs w:val="21"/>
              </w:rPr>
              <w:t>301</w:t>
            </w:r>
          </w:p>
        </w:tc>
        <w:tc>
          <w:tcPr>
            <w:tcW w:w="1467" w:type="pct"/>
            <w:tcBorders>
              <w:tl2br w:val="nil"/>
              <w:tr2bl w:val="nil"/>
            </w:tcBorders>
            <w:vAlign w:val="center"/>
          </w:tcPr>
          <w:p>
            <w:pPr>
              <w:spacing w:line="240" w:lineRule="atLeast"/>
              <w:rPr>
                <w:rFonts w:ascii="宋体" w:eastAsia="宋体" w:cs="宋体"/>
                <w:kern w:val="0"/>
                <w:szCs w:val="21"/>
              </w:rPr>
            </w:pPr>
            <w:r>
              <w:rPr>
                <w:rFonts w:hint="eastAsia" w:ascii="宋体" w:hAnsi="宋体" w:eastAsia="宋体"/>
                <w:kern w:val="44"/>
                <w:szCs w:val="21"/>
              </w:rPr>
              <w:t>作业前及作业过程中应对有限空间的上、中、下三点进行检测，检测数据在安全范围内方可进入作业，检测仪器应在有效期内使用。</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《有限空间作业安全指导手册》</w:t>
            </w:r>
          </w:p>
          <w:p>
            <w:pPr>
              <w:spacing w:line="240" w:lineRule="atLeast"/>
              <w:jc w:val="center"/>
              <w:rPr>
                <w:rFonts w:ascii="Times New Roman" w:hAnsi="Times New Roman"/>
                <w:bCs/>
                <w:szCs w:val="21"/>
              </w:rPr>
            </w:pPr>
            <w:r>
              <w:rPr>
                <w:rFonts w:hint="eastAsia" w:ascii="Times New Roman" w:hAnsi="Times New Roman"/>
                <w:bCs/>
                <w:szCs w:val="21"/>
              </w:rPr>
              <w:t>第4</w:t>
            </w:r>
            <w:r>
              <w:rPr>
                <w:rFonts w:ascii="Times New Roman" w:hAnsi="Times New Roman"/>
                <w:bCs/>
                <w:szCs w:val="21"/>
              </w:rPr>
              <w:t>.2.2条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8"/>
            <w:tcBorders>
              <w:tl2br w:val="nil"/>
              <w:tr2bl w:val="nil"/>
            </w:tcBorders>
            <w:vAlign w:val="center"/>
          </w:tcPr>
          <w:p>
            <w:pPr>
              <w:spacing w:line="240" w:lineRule="atLeast"/>
              <w:jc w:val="center"/>
              <w:rPr>
                <w:rFonts w:ascii="Times New Roman" w:hAnsi="Times New Roman"/>
                <w:szCs w:val="21"/>
              </w:rPr>
            </w:pPr>
            <w:r>
              <w:rPr>
                <w:rFonts w:hint="eastAsia" w:ascii="Times New Roman" w:hAnsi="Times New Roman"/>
                <w:b/>
                <w:bCs/>
                <w:szCs w:val="21"/>
              </w:rPr>
              <w:t>高处作业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5"/>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高处作业</w:t>
            </w:r>
          </w:p>
        </w:tc>
        <w:tc>
          <w:tcPr>
            <w:tcW w:w="846" w:type="pct"/>
            <w:tcBorders>
              <w:tl2br w:val="nil"/>
              <w:tr2bl w:val="nil"/>
            </w:tcBorders>
            <w:vAlign w:val="center"/>
          </w:tcPr>
          <w:p>
            <w:pPr>
              <w:spacing w:line="240" w:lineRule="atLeast"/>
              <w:rPr>
                <w:rFonts w:ascii="Times New Roman" w:hAnsi="Times New Roman"/>
                <w:bCs/>
                <w:szCs w:val="21"/>
              </w:rPr>
            </w:pPr>
            <w:r>
              <w:rPr>
                <w:rFonts w:hint="eastAsia" w:ascii="Times New Roman" w:hAnsi="Times New Roman"/>
                <w:bCs/>
                <w:szCs w:val="21"/>
              </w:rPr>
              <w:t>高处作业使用的安全设施若存在安全隐患极易引发高处坠落、物体打击等</w:t>
            </w:r>
          </w:p>
        </w:tc>
        <w:tc>
          <w:tcPr>
            <w:tcW w:w="506"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0</w:t>
            </w:r>
            <w:r>
              <w:rPr>
                <w:rFonts w:ascii="Times New Roman" w:hAnsi="Times New Roman"/>
                <w:bCs/>
                <w:szCs w:val="21"/>
              </w:rPr>
              <w:t>399</w:t>
            </w:r>
          </w:p>
        </w:tc>
        <w:tc>
          <w:tcPr>
            <w:tcW w:w="1467" w:type="pct"/>
            <w:tcBorders>
              <w:tl2br w:val="nil"/>
              <w:tr2bl w:val="nil"/>
            </w:tcBorders>
            <w:vAlign w:val="center"/>
          </w:tcPr>
          <w:p>
            <w:pPr>
              <w:spacing w:line="240" w:lineRule="atLeast"/>
              <w:rPr>
                <w:rFonts w:ascii="宋体" w:hAnsi="宋体" w:eastAsia="宋体"/>
                <w:kern w:val="44"/>
                <w:szCs w:val="21"/>
              </w:rPr>
            </w:pPr>
            <w:r>
              <w:rPr>
                <w:rFonts w:hint="eastAsia" w:ascii="Times New Roman" w:hAnsi="Times New Roman"/>
                <w:bCs/>
                <w:szCs w:val="21"/>
              </w:rPr>
              <w:t>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A</w:t>
            </w:r>
            <w:r>
              <w:rPr>
                <w:rFonts w:ascii="Times New Roman" w:hAnsi="Times New Roman"/>
                <w:bCs/>
                <w:szCs w:val="21"/>
              </w:rPr>
              <w:t>Q3025-2008</w:t>
            </w:r>
          </w:p>
          <w:p>
            <w:pPr>
              <w:spacing w:line="240" w:lineRule="atLeast"/>
              <w:jc w:val="center"/>
              <w:rPr>
                <w:rFonts w:ascii="Times New Roman" w:hAnsi="Times New Roman"/>
                <w:bCs/>
                <w:szCs w:val="21"/>
              </w:rPr>
            </w:pPr>
            <w:r>
              <w:rPr>
                <w:rFonts w:ascii="Times New Roman" w:hAnsi="Times New Roman"/>
                <w:bCs/>
                <w:szCs w:val="21"/>
              </w:rPr>
              <w:t>第</w:t>
            </w:r>
            <w:r>
              <w:rPr>
                <w:rFonts w:hint="eastAsia" w:ascii="Times New Roman" w:hAnsi="Times New Roman"/>
                <w:bCs/>
                <w:szCs w:val="21"/>
              </w:rPr>
              <w:t>5</w:t>
            </w:r>
            <w:r>
              <w:rPr>
                <w:rFonts w:ascii="Times New Roman" w:hAnsi="Times New Roman"/>
                <w:bCs/>
                <w:szCs w:val="21"/>
              </w:rPr>
              <w:t>.1.15条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5"/>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高处作业</w:t>
            </w:r>
          </w:p>
        </w:tc>
        <w:tc>
          <w:tcPr>
            <w:tcW w:w="846" w:type="pct"/>
            <w:tcBorders>
              <w:tl2br w:val="nil"/>
              <w:tr2bl w:val="nil"/>
            </w:tcBorders>
            <w:vAlign w:val="center"/>
          </w:tcPr>
          <w:p>
            <w:pPr>
              <w:spacing w:line="240" w:lineRule="atLeast"/>
              <w:rPr>
                <w:rFonts w:ascii="Times New Roman" w:hAnsi="Times New Roman"/>
                <w:bCs/>
                <w:szCs w:val="21"/>
              </w:rPr>
            </w:pPr>
            <w:r>
              <w:rPr>
                <w:rFonts w:hint="eastAsia" w:ascii="Times New Roman" w:hAnsi="Times New Roman"/>
                <w:bCs/>
                <w:szCs w:val="21"/>
              </w:rPr>
              <w:t>防止便携式梯子发生倾倒，造成人员伤亡</w:t>
            </w:r>
          </w:p>
        </w:tc>
        <w:tc>
          <w:tcPr>
            <w:tcW w:w="506"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0</w:t>
            </w:r>
            <w:r>
              <w:rPr>
                <w:rFonts w:ascii="Times New Roman" w:hAnsi="Times New Roman"/>
                <w:bCs/>
                <w:szCs w:val="21"/>
              </w:rPr>
              <w:t>399</w:t>
            </w:r>
          </w:p>
        </w:tc>
        <w:tc>
          <w:tcPr>
            <w:tcW w:w="1467" w:type="pct"/>
            <w:tcBorders>
              <w:tl2br w:val="nil"/>
              <w:tr2bl w:val="nil"/>
            </w:tcBorders>
            <w:vAlign w:val="center"/>
          </w:tcPr>
          <w:p>
            <w:pPr>
              <w:spacing w:line="240" w:lineRule="atLeast"/>
              <w:rPr>
                <w:rFonts w:ascii="宋体" w:hAnsi="宋体" w:eastAsia="宋体"/>
                <w:kern w:val="44"/>
                <w:szCs w:val="21"/>
              </w:rPr>
            </w:pPr>
            <w:r>
              <w:rPr>
                <w:rFonts w:hint="eastAsia" w:ascii="Times New Roman" w:hAnsi="Times New Roman"/>
                <w:bCs/>
                <w:szCs w:val="21"/>
              </w:rPr>
              <w:t>便携式木梯和便携式金属梯梯脚底部应坚实，不得垫高使用。踏板不得有缺档。梯子的上端应有固定措施。</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A</w:t>
            </w:r>
            <w:r>
              <w:rPr>
                <w:rFonts w:ascii="Times New Roman" w:hAnsi="Times New Roman"/>
                <w:bCs/>
                <w:szCs w:val="21"/>
              </w:rPr>
              <w:t>Q3025-2008</w:t>
            </w:r>
          </w:p>
          <w:p>
            <w:pPr>
              <w:spacing w:line="240" w:lineRule="atLeast"/>
              <w:jc w:val="center"/>
              <w:rPr>
                <w:rFonts w:ascii="Times New Roman" w:hAnsi="Times New Roman"/>
                <w:bCs/>
                <w:szCs w:val="21"/>
              </w:rPr>
            </w:pPr>
            <w:r>
              <w:rPr>
                <w:rFonts w:ascii="Times New Roman" w:hAnsi="Times New Roman"/>
                <w:bCs/>
                <w:szCs w:val="21"/>
              </w:rPr>
              <w:t>第</w:t>
            </w:r>
            <w:r>
              <w:rPr>
                <w:rFonts w:hint="eastAsia" w:ascii="Times New Roman" w:hAnsi="Times New Roman"/>
                <w:bCs/>
                <w:szCs w:val="21"/>
              </w:rPr>
              <w:t>5</w:t>
            </w:r>
            <w:r>
              <w:rPr>
                <w:rFonts w:ascii="Times New Roman" w:hAnsi="Times New Roman"/>
                <w:bCs/>
                <w:szCs w:val="21"/>
              </w:rPr>
              <w:t>.1.17条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5"/>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高处作业</w:t>
            </w:r>
          </w:p>
        </w:tc>
        <w:tc>
          <w:tcPr>
            <w:tcW w:w="846" w:type="pct"/>
            <w:tcBorders>
              <w:tl2br w:val="nil"/>
              <w:tr2bl w:val="nil"/>
            </w:tcBorders>
            <w:vAlign w:val="center"/>
          </w:tcPr>
          <w:p>
            <w:pPr>
              <w:spacing w:line="240" w:lineRule="atLeast"/>
              <w:rPr>
                <w:rFonts w:ascii="Times New Roman" w:hAnsi="Times New Roman"/>
                <w:bCs/>
                <w:szCs w:val="21"/>
              </w:rPr>
            </w:pPr>
            <w:r>
              <w:rPr>
                <w:rFonts w:hint="eastAsia" w:ascii="Times New Roman" w:hAnsi="Times New Roman"/>
                <w:bCs/>
                <w:szCs w:val="21"/>
              </w:rPr>
              <w:t>安全带应正确使用，错误使用仍会导致事故发生</w:t>
            </w:r>
          </w:p>
        </w:tc>
        <w:tc>
          <w:tcPr>
            <w:tcW w:w="506"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0</w:t>
            </w:r>
            <w:r>
              <w:rPr>
                <w:rFonts w:ascii="Times New Roman" w:hAnsi="Times New Roman"/>
                <w:bCs/>
                <w:szCs w:val="21"/>
              </w:rPr>
              <w:t>399</w:t>
            </w:r>
          </w:p>
        </w:tc>
        <w:tc>
          <w:tcPr>
            <w:tcW w:w="1467" w:type="pct"/>
            <w:tcBorders>
              <w:tl2br w:val="nil"/>
              <w:tr2bl w:val="nil"/>
            </w:tcBorders>
            <w:vAlign w:val="center"/>
          </w:tcPr>
          <w:p>
            <w:pPr>
              <w:spacing w:line="240" w:lineRule="atLeast"/>
              <w:rPr>
                <w:rFonts w:ascii="宋体" w:hAnsi="宋体" w:eastAsia="宋体"/>
                <w:kern w:val="44"/>
                <w:szCs w:val="21"/>
              </w:rPr>
            </w:pPr>
            <w:r>
              <w:rPr>
                <w:rFonts w:hint="eastAsia" w:ascii="Times New Roman" w:hAnsi="Times New Roman"/>
                <w:bCs/>
                <w:szCs w:val="21"/>
              </w:rPr>
              <w:t>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A</w:t>
            </w:r>
            <w:r>
              <w:rPr>
                <w:rFonts w:ascii="Times New Roman" w:hAnsi="Times New Roman"/>
                <w:bCs/>
                <w:szCs w:val="21"/>
              </w:rPr>
              <w:t>Q3025-2008</w:t>
            </w:r>
          </w:p>
          <w:p>
            <w:pPr>
              <w:spacing w:line="240" w:lineRule="atLeast"/>
              <w:jc w:val="center"/>
              <w:rPr>
                <w:rFonts w:ascii="Times New Roman" w:hAnsi="Times New Roman"/>
                <w:bCs/>
                <w:szCs w:val="21"/>
              </w:rPr>
            </w:pPr>
            <w:r>
              <w:rPr>
                <w:rFonts w:ascii="Times New Roman" w:hAnsi="Times New Roman"/>
                <w:bCs/>
                <w:szCs w:val="21"/>
              </w:rPr>
              <w:t>第</w:t>
            </w:r>
            <w:r>
              <w:rPr>
                <w:rFonts w:hint="eastAsia" w:ascii="Times New Roman" w:hAnsi="Times New Roman"/>
                <w:bCs/>
                <w:szCs w:val="21"/>
              </w:rPr>
              <w:t>5</w:t>
            </w:r>
            <w:r>
              <w:rPr>
                <w:rFonts w:ascii="Times New Roman" w:hAnsi="Times New Roman"/>
                <w:bCs/>
                <w:szCs w:val="21"/>
              </w:rPr>
              <w:t>.2.2条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 w:type="pct"/>
            <w:tcBorders>
              <w:tl2br w:val="nil"/>
              <w:tr2bl w:val="nil"/>
            </w:tcBorders>
            <w:vAlign w:val="center"/>
          </w:tcPr>
          <w:p>
            <w:pPr>
              <w:numPr>
                <w:ilvl w:val="0"/>
                <w:numId w:val="5"/>
              </w:numPr>
              <w:spacing w:line="240" w:lineRule="atLeast"/>
              <w:jc w:val="center"/>
              <w:rPr>
                <w:rFonts w:ascii="Times New Roman" w:hAnsi="Times New Roman" w:cs="Times New Roman"/>
                <w:szCs w:val="21"/>
              </w:rPr>
            </w:pPr>
          </w:p>
        </w:tc>
        <w:tc>
          <w:tcPr>
            <w:tcW w:w="3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高处作业</w:t>
            </w:r>
          </w:p>
        </w:tc>
        <w:tc>
          <w:tcPr>
            <w:tcW w:w="846" w:type="pct"/>
            <w:tcBorders>
              <w:tl2br w:val="nil"/>
              <w:tr2bl w:val="nil"/>
            </w:tcBorders>
            <w:vAlign w:val="center"/>
          </w:tcPr>
          <w:p>
            <w:pPr>
              <w:spacing w:line="240" w:lineRule="atLeast"/>
              <w:rPr>
                <w:rFonts w:ascii="Times New Roman" w:hAnsi="Times New Roman"/>
                <w:bCs/>
                <w:szCs w:val="21"/>
              </w:rPr>
            </w:pPr>
            <w:r>
              <w:rPr>
                <w:rFonts w:hint="eastAsia" w:ascii="Times New Roman" w:hAnsi="Times New Roman"/>
                <w:bCs/>
                <w:szCs w:val="21"/>
              </w:rPr>
              <w:t>高空作业时使用的工具、材料、零件极易掉落，砸伤人体，砸坏设备设施</w:t>
            </w:r>
          </w:p>
        </w:tc>
        <w:tc>
          <w:tcPr>
            <w:tcW w:w="506"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0</w:t>
            </w:r>
            <w:r>
              <w:rPr>
                <w:rFonts w:ascii="Times New Roman" w:hAnsi="Times New Roman"/>
                <w:bCs/>
                <w:szCs w:val="21"/>
              </w:rPr>
              <w:t>399</w:t>
            </w:r>
          </w:p>
        </w:tc>
        <w:tc>
          <w:tcPr>
            <w:tcW w:w="1467" w:type="pct"/>
            <w:tcBorders>
              <w:tl2br w:val="nil"/>
              <w:tr2bl w:val="nil"/>
            </w:tcBorders>
            <w:vAlign w:val="center"/>
          </w:tcPr>
          <w:p>
            <w:pPr>
              <w:spacing w:line="240" w:lineRule="atLeast"/>
              <w:rPr>
                <w:rFonts w:ascii="宋体" w:hAnsi="宋体" w:eastAsia="宋体"/>
                <w:kern w:val="44"/>
                <w:szCs w:val="21"/>
              </w:rPr>
            </w:pPr>
            <w:r>
              <w:rPr>
                <w:rFonts w:hint="eastAsia" w:ascii="Times New Roman" w:hAnsi="Times New Roman"/>
                <w:bCs/>
                <w:szCs w:val="21"/>
              </w:rPr>
              <w:t>作业场所有坠落可能的物件，应一律先行撤除或加以固定。高处作业所使用的工具、材料、零件等应装入工具袋，易滑动、易滚动的工具、材料堆放在脚手架上时，应采取防止坠落措施。拆卸下的物件及余料和废料均应及时清理运走，不得任意乱置或向下丢弃。</w:t>
            </w:r>
          </w:p>
        </w:tc>
        <w:tc>
          <w:tcPr>
            <w:tcW w:w="782" w:type="pct"/>
            <w:tcBorders>
              <w:tl2br w:val="nil"/>
              <w:tr2bl w:val="nil"/>
            </w:tcBorders>
            <w:vAlign w:val="center"/>
          </w:tcPr>
          <w:p>
            <w:pPr>
              <w:spacing w:line="240" w:lineRule="atLeast"/>
              <w:jc w:val="center"/>
              <w:rPr>
                <w:rFonts w:ascii="Times New Roman" w:hAnsi="Times New Roman"/>
                <w:bCs/>
                <w:szCs w:val="21"/>
              </w:rPr>
            </w:pPr>
            <w:r>
              <w:rPr>
                <w:rFonts w:hint="eastAsia" w:ascii="Times New Roman" w:hAnsi="Times New Roman"/>
                <w:bCs/>
                <w:szCs w:val="21"/>
              </w:rPr>
              <w:t>A</w:t>
            </w:r>
            <w:r>
              <w:rPr>
                <w:rFonts w:ascii="Times New Roman" w:hAnsi="Times New Roman"/>
                <w:bCs/>
                <w:szCs w:val="21"/>
              </w:rPr>
              <w:t>Q3025-2008</w:t>
            </w:r>
          </w:p>
          <w:p>
            <w:pPr>
              <w:spacing w:line="240" w:lineRule="atLeast"/>
              <w:jc w:val="center"/>
              <w:rPr>
                <w:rFonts w:ascii="Times New Roman" w:hAnsi="Times New Roman"/>
                <w:bCs/>
                <w:szCs w:val="21"/>
              </w:rPr>
            </w:pPr>
            <w:r>
              <w:rPr>
                <w:rFonts w:ascii="Times New Roman" w:hAnsi="Times New Roman"/>
                <w:bCs/>
                <w:szCs w:val="21"/>
              </w:rPr>
              <w:t>第</w:t>
            </w:r>
            <w:r>
              <w:rPr>
                <w:rFonts w:hint="eastAsia" w:ascii="Times New Roman" w:hAnsi="Times New Roman"/>
                <w:bCs/>
                <w:szCs w:val="21"/>
              </w:rPr>
              <w:t>5</w:t>
            </w:r>
            <w:r>
              <w:rPr>
                <w:rFonts w:ascii="Times New Roman" w:hAnsi="Times New Roman"/>
                <w:bCs/>
                <w:szCs w:val="21"/>
              </w:rPr>
              <w:t>.2.3条</w:t>
            </w:r>
          </w:p>
        </w:tc>
        <w:tc>
          <w:tcPr>
            <w:tcW w:w="518" w:type="pct"/>
            <w:tcBorders>
              <w:tl2br w:val="nil"/>
              <w:tr2bl w:val="nil"/>
            </w:tcBorders>
            <w:vAlign w:val="center"/>
          </w:tcPr>
          <w:p>
            <w:pPr>
              <w:spacing w:line="240" w:lineRule="atLeast"/>
              <w:rPr>
                <w:rFonts w:ascii="Times New Roman" w:hAnsi="Times New Roman"/>
                <w:szCs w:val="21"/>
              </w:rPr>
            </w:pPr>
          </w:p>
        </w:tc>
        <w:tc>
          <w:tcPr>
            <w:tcW w:w="261" w:type="pct"/>
            <w:tcBorders>
              <w:tl2br w:val="nil"/>
              <w:tr2bl w:val="nil"/>
            </w:tcBorders>
            <w:vAlign w:val="center"/>
          </w:tcPr>
          <w:p>
            <w:pPr>
              <w:spacing w:line="240" w:lineRule="atLeast"/>
              <w:rPr>
                <w:rFonts w:ascii="Times New Roman" w:hAnsi="Times New Roman"/>
                <w:szCs w:val="21"/>
              </w:rPr>
            </w:pPr>
          </w:p>
        </w:tc>
      </w:tr>
    </w:tbl>
    <w:p>
      <w:pPr>
        <w:spacing w:line="500" w:lineRule="exact"/>
        <w:rPr>
          <w:b/>
          <w:bCs/>
          <w:color w:val="FF000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C52AD"/>
    <w:multiLevelType w:val="singleLevel"/>
    <w:tmpl w:val="234C52AD"/>
    <w:lvl w:ilvl="0" w:tentative="0">
      <w:start w:val="1"/>
      <w:numFmt w:val="decimal"/>
      <w:suff w:val="nothing"/>
      <w:lvlText w:val="%1"/>
      <w:lvlJc w:val="left"/>
      <w:pPr>
        <w:ind w:left="420" w:hanging="420"/>
      </w:pPr>
      <w:rPr>
        <w:rFonts w:hint="eastAsia"/>
      </w:rPr>
    </w:lvl>
  </w:abstractNum>
  <w:abstractNum w:abstractNumId="1">
    <w:nsid w:val="26763493"/>
    <w:multiLevelType w:val="multilevel"/>
    <w:tmpl w:val="26763493"/>
    <w:lvl w:ilvl="0" w:tentative="0">
      <w:start w:val="1"/>
      <w:numFmt w:val="decimal"/>
      <w:pStyle w:val="2"/>
      <w:lvlText w:val="%1"/>
      <w:lvlJc w:val="left"/>
      <w:pPr>
        <w:ind w:left="432" w:hanging="432"/>
      </w:pPr>
      <w:rPr>
        <w:rFonts w:hint="default" w:ascii="Times New Roman" w:hAnsi="Times New Roman" w:eastAsia="宋体" w:cs="宋体"/>
        <w:sz w:val="32"/>
      </w:rPr>
    </w:lvl>
    <w:lvl w:ilvl="1" w:tentative="0">
      <w:start w:val="1"/>
      <w:numFmt w:val="decimal"/>
      <w:pStyle w:val="3"/>
      <w:lvlText w:val="%1.%2"/>
      <w:lvlJc w:val="left"/>
      <w:pPr>
        <w:ind w:left="575" w:hanging="575"/>
      </w:pPr>
      <w:rPr>
        <w:rFonts w:hint="default" w:ascii="Times New Roman" w:hAnsi="Times New Roman" w:eastAsia="宋体" w:cs="宋体"/>
      </w:rPr>
    </w:lvl>
    <w:lvl w:ilvl="2" w:tentative="0">
      <w:start w:val="1"/>
      <w:numFmt w:val="decimal"/>
      <w:pStyle w:val="4"/>
      <w:lvlText w:val="%1.%2.%3"/>
      <w:lvlJc w:val="left"/>
      <w:pPr>
        <w:ind w:left="720" w:hanging="720"/>
      </w:pPr>
      <w:rPr>
        <w:rFonts w:hint="default" w:ascii="Times New Roman" w:hAnsi="Times New Roman" w:eastAsia="宋体" w:cs="宋体"/>
      </w:rPr>
    </w:lvl>
    <w:lvl w:ilvl="3" w:tentative="0">
      <w:start w:val="1"/>
      <w:numFmt w:val="decimal"/>
      <w:pStyle w:val="5"/>
      <w:lvlText w:val="%1.%2.%3.%4"/>
      <w:lvlJc w:val="left"/>
      <w:pPr>
        <w:ind w:left="864" w:hanging="864"/>
      </w:pPr>
      <w:rPr>
        <w:rFonts w:hint="default" w:ascii="Times New Roman" w:hAnsi="Times New Roman"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67364187"/>
    <w:multiLevelType w:val="singleLevel"/>
    <w:tmpl w:val="67364187"/>
    <w:lvl w:ilvl="0" w:tentative="0">
      <w:start w:val="1"/>
      <w:numFmt w:val="decimal"/>
      <w:suff w:val="nothing"/>
      <w:lvlText w:val="%1"/>
      <w:lvlJc w:val="left"/>
      <w:pPr>
        <w:ind w:left="420" w:hanging="420"/>
      </w:pPr>
      <w:rPr>
        <w:rFonts w:hint="eastAsia"/>
      </w:rPr>
    </w:lvl>
  </w:abstractNum>
  <w:abstractNum w:abstractNumId="3">
    <w:nsid w:val="753679C4"/>
    <w:multiLevelType w:val="singleLevel"/>
    <w:tmpl w:val="753679C4"/>
    <w:lvl w:ilvl="0" w:tentative="0">
      <w:start w:val="1"/>
      <w:numFmt w:val="decimal"/>
      <w:suff w:val="nothing"/>
      <w:lvlText w:val="%1"/>
      <w:lvlJc w:val="left"/>
      <w:pPr>
        <w:ind w:left="420" w:hanging="420"/>
      </w:pPr>
      <w:rPr>
        <w:rFonts w:hint="eastAsia"/>
      </w:rPr>
    </w:lvl>
  </w:abstractNum>
  <w:abstractNum w:abstractNumId="4">
    <w:nsid w:val="7A3C3A04"/>
    <w:multiLevelType w:val="singleLevel"/>
    <w:tmpl w:val="7A3C3A04"/>
    <w:lvl w:ilvl="0" w:tentative="0">
      <w:start w:val="1"/>
      <w:numFmt w:val="decimal"/>
      <w:suff w:val="nothing"/>
      <w:lvlText w:val="%1"/>
      <w:lvlJc w:val="left"/>
      <w:pPr>
        <w:ind w:left="420" w:hanging="420"/>
      </w:pPr>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006F07"/>
    <w:rsid w:val="00015110"/>
    <w:rsid w:val="00040D92"/>
    <w:rsid w:val="00040FA7"/>
    <w:rsid w:val="000755F3"/>
    <w:rsid w:val="00082DE6"/>
    <w:rsid w:val="00090FB6"/>
    <w:rsid w:val="000D6526"/>
    <w:rsid w:val="000F2878"/>
    <w:rsid w:val="00101598"/>
    <w:rsid w:val="00105FF7"/>
    <w:rsid w:val="00117477"/>
    <w:rsid w:val="00122FD3"/>
    <w:rsid w:val="00156F0C"/>
    <w:rsid w:val="00173B09"/>
    <w:rsid w:val="001765B8"/>
    <w:rsid w:val="0018734A"/>
    <w:rsid w:val="001E74E9"/>
    <w:rsid w:val="00205F7D"/>
    <w:rsid w:val="0023609D"/>
    <w:rsid w:val="00242104"/>
    <w:rsid w:val="0024691E"/>
    <w:rsid w:val="00250CA2"/>
    <w:rsid w:val="00253AB6"/>
    <w:rsid w:val="00260C97"/>
    <w:rsid w:val="002618BC"/>
    <w:rsid w:val="002830F6"/>
    <w:rsid w:val="00297D8F"/>
    <w:rsid w:val="002E409E"/>
    <w:rsid w:val="002E79EE"/>
    <w:rsid w:val="00320A95"/>
    <w:rsid w:val="00321CB1"/>
    <w:rsid w:val="00324595"/>
    <w:rsid w:val="003436E0"/>
    <w:rsid w:val="003602A3"/>
    <w:rsid w:val="003C7D33"/>
    <w:rsid w:val="0043457C"/>
    <w:rsid w:val="00447577"/>
    <w:rsid w:val="00452E38"/>
    <w:rsid w:val="00453FDC"/>
    <w:rsid w:val="004727E8"/>
    <w:rsid w:val="00493F49"/>
    <w:rsid w:val="004B06D7"/>
    <w:rsid w:val="005032A9"/>
    <w:rsid w:val="0053026A"/>
    <w:rsid w:val="00544BD5"/>
    <w:rsid w:val="005776A8"/>
    <w:rsid w:val="005A3D1B"/>
    <w:rsid w:val="005B3011"/>
    <w:rsid w:val="005D4008"/>
    <w:rsid w:val="005F5218"/>
    <w:rsid w:val="005F7082"/>
    <w:rsid w:val="00602D73"/>
    <w:rsid w:val="0062747A"/>
    <w:rsid w:val="006379ED"/>
    <w:rsid w:val="00641B37"/>
    <w:rsid w:val="006442B7"/>
    <w:rsid w:val="006A0192"/>
    <w:rsid w:val="006B764A"/>
    <w:rsid w:val="006D2B43"/>
    <w:rsid w:val="00706413"/>
    <w:rsid w:val="0072282F"/>
    <w:rsid w:val="007849FB"/>
    <w:rsid w:val="00785E1E"/>
    <w:rsid w:val="00793DEA"/>
    <w:rsid w:val="007A44DE"/>
    <w:rsid w:val="007A76D9"/>
    <w:rsid w:val="007C4D8F"/>
    <w:rsid w:val="007D6125"/>
    <w:rsid w:val="00800F14"/>
    <w:rsid w:val="00805F7F"/>
    <w:rsid w:val="00806685"/>
    <w:rsid w:val="00824915"/>
    <w:rsid w:val="00835852"/>
    <w:rsid w:val="00855EAA"/>
    <w:rsid w:val="0086187A"/>
    <w:rsid w:val="008B0524"/>
    <w:rsid w:val="008C4DF0"/>
    <w:rsid w:val="009046F6"/>
    <w:rsid w:val="00915344"/>
    <w:rsid w:val="00976A5E"/>
    <w:rsid w:val="00985791"/>
    <w:rsid w:val="009B32F0"/>
    <w:rsid w:val="00A34802"/>
    <w:rsid w:val="00A41400"/>
    <w:rsid w:val="00A47F7C"/>
    <w:rsid w:val="00A502B2"/>
    <w:rsid w:val="00A96D64"/>
    <w:rsid w:val="00A97592"/>
    <w:rsid w:val="00AB3166"/>
    <w:rsid w:val="00AC0B86"/>
    <w:rsid w:val="00AC623B"/>
    <w:rsid w:val="00AC6D5B"/>
    <w:rsid w:val="00AC791A"/>
    <w:rsid w:val="00AD0827"/>
    <w:rsid w:val="00AF7450"/>
    <w:rsid w:val="00B428A3"/>
    <w:rsid w:val="00B5018D"/>
    <w:rsid w:val="00B916E0"/>
    <w:rsid w:val="00BB627E"/>
    <w:rsid w:val="00BB6C0C"/>
    <w:rsid w:val="00BF5DEC"/>
    <w:rsid w:val="00C111FE"/>
    <w:rsid w:val="00C25198"/>
    <w:rsid w:val="00C37A34"/>
    <w:rsid w:val="00C43EBB"/>
    <w:rsid w:val="00C5509B"/>
    <w:rsid w:val="00C55D1A"/>
    <w:rsid w:val="00C7074B"/>
    <w:rsid w:val="00C76BB5"/>
    <w:rsid w:val="00C95543"/>
    <w:rsid w:val="00C96E86"/>
    <w:rsid w:val="00C97CA5"/>
    <w:rsid w:val="00CA3122"/>
    <w:rsid w:val="00CB2B10"/>
    <w:rsid w:val="00CE6065"/>
    <w:rsid w:val="00D01EAD"/>
    <w:rsid w:val="00D046C7"/>
    <w:rsid w:val="00D11BB4"/>
    <w:rsid w:val="00D22398"/>
    <w:rsid w:val="00D67181"/>
    <w:rsid w:val="00D75277"/>
    <w:rsid w:val="00D8794C"/>
    <w:rsid w:val="00D944A2"/>
    <w:rsid w:val="00DA6ECC"/>
    <w:rsid w:val="00DB6A4F"/>
    <w:rsid w:val="00DB6B20"/>
    <w:rsid w:val="00DB7DA6"/>
    <w:rsid w:val="00DC2B9F"/>
    <w:rsid w:val="00DE54CE"/>
    <w:rsid w:val="00DE7C07"/>
    <w:rsid w:val="00E224BD"/>
    <w:rsid w:val="00E275D7"/>
    <w:rsid w:val="00E45810"/>
    <w:rsid w:val="00E47756"/>
    <w:rsid w:val="00E60ADD"/>
    <w:rsid w:val="00E60D0B"/>
    <w:rsid w:val="00E76D58"/>
    <w:rsid w:val="00E8292F"/>
    <w:rsid w:val="00E90CB8"/>
    <w:rsid w:val="00EA11CB"/>
    <w:rsid w:val="00EB4DB0"/>
    <w:rsid w:val="00EB69F4"/>
    <w:rsid w:val="00EC2C5D"/>
    <w:rsid w:val="00EC737A"/>
    <w:rsid w:val="00ED133C"/>
    <w:rsid w:val="00ED2699"/>
    <w:rsid w:val="00EE1919"/>
    <w:rsid w:val="00EE38CD"/>
    <w:rsid w:val="00F02C5B"/>
    <w:rsid w:val="00F161B7"/>
    <w:rsid w:val="00F2267B"/>
    <w:rsid w:val="00F2697D"/>
    <w:rsid w:val="00F73504"/>
    <w:rsid w:val="00F85620"/>
    <w:rsid w:val="00FA5CE9"/>
    <w:rsid w:val="00FF2564"/>
    <w:rsid w:val="0188346F"/>
    <w:rsid w:val="04D2743D"/>
    <w:rsid w:val="0A4A4B6E"/>
    <w:rsid w:val="0AD44A0A"/>
    <w:rsid w:val="169A3488"/>
    <w:rsid w:val="16AB6F1F"/>
    <w:rsid w:val="17C87F4B"/>
    <w:rsid w:val="19E2120E"/>
    <w:rsid w:val="1BAF01D2"/>
    <w:rsid w:val="208633A3"/>
    <w:rsid w:val="271E6333"/>
    <w:rsid w:val="2808798A"/>
    <w:rsid w:val="2A654E10"/>
    <w:rsid w:val="2F2A7EC0"/>
    <w:rsid w:val="31006F07"/>
    <w:rsid w:val="3A0D76F7"/>
    <w:rsid w:val="3D8B3437"/>
    <w:rsid w:val="3F18692A"/>
    <w:rsid w:val="405C712E"/>
    <w:rsid w:val="417C046C"/>
    <w:rsid w:val="4361184E"/>
    <w:rsid w:val="45F946E9"/>
    <w:rsid w:val="4D12235F"/>
    <w:rsid w:val="52A37230"/>
    <w:rsid w:val="557B2526"/>
    <w:rsid w:val="55CC1D5F"/>
    <w:rsid w:val="59341ADE"/>
    <w:rsid w:val="59CD3978"/>
    <w:rsid w:val="5BFF2775"/>
    <w:rsid w:val="5C09479C"/>
    <w:rsid w:val="5C187E21"/>
    <w:rsid w:val="64A64D20"/>
    <w:rsid w:val="70486D7E"/>
    <w:rsid w:val="71DE3E10"/>
    <w:rsid w:val="75AE0DF7"/>
    <w:rsid w:val="79FA36B7"/>
    <w:rsid w:val="7CCB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0"/>
      </w:tabs>
      <w:spacing w:beforeLines="100" w:afterLines="100" w:line="500" w:lineRule="exact"/>
      <w:jc w:val="center"/>
      <w:outlineLvl w:val="0"/>
    </w:pPr>
    <w:rPr>
      <w:rFonts w:ascii="Times New Roman" w:hAnsi="Times New Roman" w:eastAsia="黑体"/>
      <w:b/>
      <w:color w:val="000000"/>
      <w:kern w:val="44"/>
      <w:sz w:val="32"/>
      <w:szCs w:val="20"/>
    </w:rPr>
  </w:style>
  <w:style w:type="paragraph" w:styleId="3">
    <w:name w:val="heading 2"/>
    <w:basedOn w:val="1"/>
    <w:next w:val="1"/>
    <w:link w:val="21"/>
    <w:unhideWhenUsed/>
    <w:qFormat/>
    <w:uiPriority w:val="0"/>
    <w:pPr>
      <w:numPr>
        <w:ilvl w:val="1"/>
        <w:numId w:val="1"/>
      </w:numPr>
      <w:tabs>
        <w:tab w:val="left" w:pos="0"/>
      </w:tabs>
      <w:adjustRightInd w:val="0"/>
      <w:snapToGrid w:val="0"/>
      <w:spacing w:beforeLines="50" w:afterLines="50" w:line="500" w:lineRule="exact"/>
      <w:ind w:left="573" w:hanging="573"/>
      <w:jc w:val="left"/>
      <w:outlineLvl w:val="1"/>
    </w:pPr>
    <w:rPr>
      <w:rFonts w:ascii="Times New Roman" w:hAnsi="Times New Roman" w:eastAsia="楷体"/>
      <w:b/>
      <w:smallCaps/>
      <w:kern w:val="0"/>
      <w:sz w:val="28"/>
      <w:szCs w:val="20"/>
    </w:rPr>
  </w:style>
  <w:style w:type="paragraph" w:styleId="4">
    <w:name w:val="heading 3"/>
    <w:basedOn w:val="1"/>
    <w:next w:val="1"/>
    <w:link w:val="20"/>
    <w:unhideWhenUsed/>
    <w:qFormat/>
    <w:uiPriority w:val="0"/>
    <w:pPr>
      <w:keepNext/>
      <w:keepLines/>
      <w:numPr>
        <w:ilvl w:val="2"/>
        <w:numId w:val="1"/>
      </w:numPr>
      <w:tabs>
        <w:tab w:val="left" w:pos="0"/>
      </w:tabs>
      <w:spacing w:line="500" w:lineRule="exact"/>
      <w:outlineLvl w:val="2"/>
    </w:pPr>
    <w:rPr>
      <w:rFonts w:ascii="Times New Roman" w:hAnsi="Times New Roman" w:eastAsia="宋体"/>
      <w:b/>
      <w:bCs/>
      <w:sz w:val="28"/>
      <w:szCs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tabs>
        <w:tab w:val="left" w:pos="1008"/>
      </w:tabs>
      <w:spacing w:before="280" w:after="290" w:line="372" w:lineRule="auto"/>
      <w:outlineLvl w:val="4"/>
    </w:pPr>
    <w:rPr>
      <w:b/>
      <w:sz w:val="28"/>
    </w:rPr>
  </w:style>
  <w:style w:type="paragraph" w:styleId="7">
    <w:name w:val="heading 6"/>
    <w:basedOn w:val="1"/>
    <w:next w:val="1"/>
    <w:unhideWhenUsed/>
    <w:qFormat/>
    <w:uiPriority w:val="0"/>
    <w:pPr>
      <w:keepNext/>
      <w:keepLines/>
      <w:numPr>
        <w:ilvl w:val="5"/>
        <w:numId w:val="1"/>
      </w:numPr>
      <w:tabs>
        <w:tab w:val="left" w:pos="1152"/>
      </w:tabs>
      <w:spacing w:before="240" w:after="64"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tabs>
        <w:tab w:val="left" w:pos="1296"/>
      </w:tabs>
      <w:spacing w:before="240" w:after="64" w:line="317" w:lineRule="auto"/>
      <w:outlineLvl w:val="6"/>
    </w:pPr>
    <w:rPr>
      <w:b/>
      <w:sz w:val="24"/>
    </w:rPr>
  </w:style>
  <w:style w:type="paragraph" w:styleId="9">
    <w:name w:val="heading 8"/>
    <w:basedOn w:val="1"/>
    <w:next w:val="1"/>
    <w:unhideWhenUsed/>
    <w:qFormat/>
    <w:uiPriority w:val="0"/>
    <w:pPr>
      <w:keepNext/>
      <w:keepLines/>
      <w:numPr>
        <w:ilvl w:val="7"/>
        <w:numId w:val="1"/>
      </w:numPr>
      <w:tabs>
        <w:tab w:val="left" w:pos="1440"/>
      </w:tabs>
      <w:spacing w:before="240" w:after="64"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tabs>
        <w:tab w:val="left" w:pos="1584"/>
      </w:tabs>
      <w:spacing w:before="240" w:after="64" w:line="317" w:lineRule="auto"/>
      <w:outlineLvl w:val="8"/>
    </w:pPr>
    <w:rPr>
      <w:rFonts w:ascii="Arial" w:hAnsi="Arial" w:eastAsia="黑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4"/>
    <w:uiPriority w:val="0"/>
    <w:pPr>
      <w:jc w:val="left"/>
    </w:p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annotation subject"/>
    <w:basedOn w:val="11"/>
    <w:next w:val="11"/>
    <w:link w:val="25"/>
    <w:unhideWhenUsed/>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character" w:customStyle="1" w:styleId="20">
    <w:name w:val="标题 3 字符"/>
    <w:link w:val="4"/>
    <w:qFormat/>
    <w:uiPriority w:val="0"/>
    <w:rPr>
      <w:rFonts w:ascii="Times New Roman" w:hAnsi="Times New Roman" w:eastAsia="仿宋"/>
      <w:sz w:val="28"/>
      <w:szCs w:val="28"/>
    </w:rPr>
  </w:style>
  <w:style w:type="character" w:customStyle="1" w:styleId="21">
    <w:name w:val="标题 2 字符"/>
    <w:link w:val="3"/>
    <w:qFormat/>
    <w:uiPriority w:val="0"/>
    <w:rPr>
      <w:rFonts w:ascii="Times New Roman" w:hAnsi="Times New Roman" w:eastAsia="楷体"/>
      <w:b/>
      <w:bCs/>
      <w:sz w:val="28"/>
      <w:szCs w:val="32"/>
    </w:rPr>
  </w:style>
  <w:style w:type="character" w:customStyle="1" w:styleId="22">
    <w:name w:val="页眉 字符"/>
    <w:basedOn w:val="18"/>
    <w:link w:val="13"/>
    <w:qFormat/>
    <w:uiPriority w:val="0"/>
    <w:rPr>
      <w:kern w:val="2"/>
      <w:sz w:val="18"/>
      <w:szCs w:val="18"/>
    </w:rPr>
  </w:style>
  <w:style w:type="character" w:customStyle="1" w:styleId="23">
    <w:name w:val="页脚 字符"/>
    <w:basedOn w:val="18"/>
    <w:link w:val="12"/>
    <w:qFormat/>
    <w:uiPriority w:val="0"/>
    <w:rPr>
      <w:kern w:val="2"/>
      <w:sz w:val="18"/>
      <w:szCs w:val="18"/>
    </w:rPr>
  </w:style>
  <w:style w:type="character" w:customStyle="1" w:styleId="24">
    <w:name w:val="批注文字 字符"/>
    <w:basedOn w:val="18"/>
    <w:link w:val="11"/>
    <w:qFormat/>
    <w:uiPriority w:val="0"/>
    <w:rPr>
      <w:kern w:val="2"/>
      <w:sz w:val="21"/>
      <w:szCs w:val="24"/>
    </w:rPr>
  </w:style>
  <w:style w:type="character" w:customStyle="1" w:styleId="25">
    <w:name w:val="批注主题 字符"/>
    <w:basedOn w:val="24"/>
    <w:link w:val="15"/>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C5B09-12E5-4F54-90CE-B684188DFD8B}">
  <ds:schemaRefs/>
</ds:datastoreItem>
</file>

<file path=docProps/app.xml><?xml version="1.0" encoding="utf-8"?>
<Properties xmlns="http://schemas.openxmlformats.org/officeDocument/2006/extended-properties" xmlns:vt="http://schemas.openxmlformats.org/officeDocument/2006/docPropsVTypes">
  <Template>Normal</Template>
  <Pages>5</Pages>
  <Words>464</Words>
  <Characters>2648</Characters>
  <Lines>22</Lines>
  <Paragraphs>6</Paragraphs>
  <TotalTime>3</TotalTime>
  <ScaleCrop>false</ScaleCrop>
  <LinksUpToDate>false</LinksUpToDate>
  <CharactersWithSpaces>3106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2021-05-05T14:30:00Z</dcterms:created>
  <dc:creator>元元</dc:creator>
  <cp:lastModifiedBy>新</cp:lastModifiedBy>
  <dcterms:modified xsi:type="dcterms:W3CDTF">2021-08-05T08:47:20Z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833A2DB58E6744389A4D72DAF1658820</vt:lpwstr>
  </property>
</Properties>
</file>