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napToGrid w:val="0"/>
        <w:spacing w:before="300" w:beforeAutospacing="0" w:after="312" w:afterAutospacing="0" w:line="380" w:lineRule="atLeast"/>
        <w:ind w:left="0" w:right="0"/>
        <w:jc w:val="center"/>
      </w:pPr>
      <w:r>
        <w:rPr>
          <w:rFonts w:hint="eastAsia" w:ascii="宋体" w:hAnsi="宋体" w:eastAsia="宋体" w:cs="宋体"/>
          <w:b/>
          <w:kern w:val="0"/>
          <w:sz w:val="36"/>
          <w:szCs w:val="36"/>
          <w:lang w:val="en-US" w:eastAsia="zh-CN" w:bidi="ar"/>
        </w:rPr>
        <w:t>危险化学品重大危险源监督管理暂行规定</w:t>
      </w:r>
    </w:p>
    <w:p>
      <w:pPr>
        <w:keepNext w:val="0"/>
        <w:keepLines w:val="0"/>
        <w:widowControl/>
        <w:suppressLineNumbers w:val="0"/>
        <w:snapToGrid w:val="0"/>
        <w:spacing w:before="0" w:beforeAutospacing="0" w:after="312" w:afterLines="100" w:afterAutospacing="0" w:line="360" w:lineRule="exact"/>
        <w:ind w:left="0" w:right="0"/>
        <w:jc w:val="center"/>
      </w:pPr>
      <w:r>
        <w:rPr>
          <w:rFonts w:hint="default" w:ascii="楷体_GB2312" w:hAnsi="宋体" w:eastAsia="楷体_GB2312" w:cs="楷体_GB2312"/>
          <w:kern w:val="0"/>
          <w:sz w:val="24"/>
          <w:szCs w:val="24"/>
          <w:lang w:val="en-US" w:eastAsia="zh-CN" w:bidi="ar"/>
        </w:rPr>
        <w:t>（ 2011年 8月 5日 国家安全监管总局令第40号公布  根据 2015年 5月 27日 国家安全监管总局令第79号修正）</w:t>
      </w:r>
      <w:r>
        <w:rPr>
          <w:rFonts w:hint="eastAsia" w:ascii="宋体" w:hAnsi="宋体" w:eastAsia="宋体" w:cs="宋体"/>
          <w:kern w:val="0"/>
          <w:sz w:val="24"/>
          <w:szCs w:val="24"/>
          <w:lang w:val="en-US" w:eastAsia="zh-CN" w:bidi="ar"/>
        </w:rPr>
        <w:t xml:space="preserve">   </w:t>
      </w:r>
      <w:bookmarkStart w:id="0" w:name="_GoBack"/>
      <w:bookmarkEnd w:id="0"/>
    </w:p>
    <w:p>
      <w:pPr>
        <w:keepNext w:val="0"/>
        <w:keepLines w:val="0"/>
        <w:widowControl/>
        <w:suppressLineNumbers w:val="0"/>
        <w:snapToGrid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24"/>
          <w:szCs w:val="24"/>
          <w:lang w:val="en-US" w:eastAsia="zh-CN" w:bidi="ar"/>
        </w:rPr>
        <w:t>第一章</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总</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则</w:t>
      </w:r>
      <w:r>
        <w:rPr>
          <w:rFonts w:hint="eastAsia" w:ascii="宋体" w:hAnsi="宋体" w:eastAsia="宋体" w:cs="宋体"/>
          <w:b/>
          <w:bCs w:val="0"/>
          <w:kern w:val="0"/>
          <w:sz w:val="24"/>
          <w:szCs w:val="24"/>
          <w:lang w:val="en-US" w:eastAsia="zh-CN" w:bidi="ar"/>
        </w:rPr>
        <w:t xml:space="preserve"> </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第一条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为了加强危险化学品重大危险源的安全监督管理，防止和减少危险化学品事故的发生，保障人民群众生命财产安全，根据《中华人民共和国安全生产法》和《危险化学品安全管理条例》等有关法律、行政法规，制定本规定。</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从事危险化学品生产、储存、使用和经营的单位（以下统称危险化学品单位）的危险化学品重大危险源的辨识、评估、登记建档、备案、核销及其监督管理，适用本规定。</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城镇燃气、用于国防科研生产的危险化学品重大危险源以及港区内危险化学品重大危险源的安全监督管理，不适用本规定。</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本规定所称危险化学品重大危险源（以下简称重大危险源），是指按照《危险化学品重大危险源辨识》（</w:t>
      </w:r>
      <w:r>
        <w:rPr>
          <w:rFonts w:hint="eastAsia" w:ascii="宋体" w:hAnsi="宋体" w:eastAsia="宋体" w:cs="宋体"/>
          <w:kern w:val="0"/>
          <w:sz w:val="24"/>
          <w:szCs w:val="24"/>
          <w:lang w:val="en-US" w:eastAsia="zh-CN" w:bidi="ar"/>
        </w:rPr>
        <w:t>GB18218</w:t>
      </w:r>
      <w:r>
        <w:rPr>
          <w:rFonts w:hint="eastAsia" w:ascii="Times New Roman" w:hAnsi="Times New Roman" w:eastAsia="宋体" w:cs="宋体"/>
          <w:kern w:val="0"/>
          <w:sz w:val="24"/>
          <w:szCs w:val="24"/>
          <w:lang w:val="en-US" w:eastAsia="zh-CN" w:bidi="ar"/>
        </w:rPr>
        <w:t>）标准辨识确定，生产、储存、使用或者搬运危险化学品的数量等于或者超过临界量的单元（包括场所和设施）。</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第四条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危险化学品单位是本单位重大危险源安全管理的责任主体，其主要负责人对本单位的重大危险源安全管理工作负责，并保证重大危险源安全生产所必需的安全投入。</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第五条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重大危险源的安全监督管理实行属地监管与分级管理相结合的原则。</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县级以上地方人民政府安全生产监督管理部门按照有关法律、法规、标准和本规定，对本辖区内的重大危险源实施安全监督管理。</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第六条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国家鼓励危险化学品单位采用有利于提高重大危险源安全保障水平的先进适用的工艺、技术、设备以及自动控制系统，推进安全生产监督管理部门重大危险源安全监管的信息化建设。</w:t>
      </w:r>
    </w:p>
    <w:p>
      <w:pPr>
        <w:keepNext w:val="0"/>
        <w:keepLines w:val="0"/>
        <w:widowControl/>
        <w:suppressLineNumbers w:val="0"/>
        <w:snapToGrid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24"/>
          <w:szCs w:val="24"/>
          <w:lang w:val="en-US" w:eastAsia="zh-CN" w:bidi="ar"/>
        </w:rPr>
        <w:t>第二章</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辨识与评估</w:t>
      </w:r>
      <w:r>
        <w:rPr>
          <w:rFonts w:hint="eastAsia" w:ascii="宋体" w:hAnsi="宋体" w:eastAsia="宋体" w:cs="宋体"/>
          <w:b/>
          <w:bCs w:val="0"/>
          <w:kern w:val="0"/>
          <w:sz w:val="24"/>
          <w:szCs w:val="24"/>
          <w:lang w:val="en-US" w:eastAsia="zh-CN" w:bidi="ar"/>
        </w:rPr>
        <w:t xml:space="preserve"> </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第七条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危险化学品单位应当按照《危险化学品重大危险源辨识》标准，对本单位的危险化学品生产、经营、储存和使用装置、设施或者场所进行重大危险源辨识，并记录辨识过程与结果。</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第八条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对重大危险源进行安全评估并确定重大危险源等级。危险化学品单位可以组织本单位的注册安全工程师、技术人员或者聘请有关专家进行安全评估，也可以委托具有相应资质的安全评价机构进行安全评估。</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依照法律、行政法规的规定，危险化学品单位需要进行安全评价的，重大危险源安全评估可以与本单位的安全评价一起进行，以安全评价报告代替安全评估报告，也可以单独进行重大危险源安全评估。</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重大危险源根据其危险程度，分为一级、二级、三级和四级，一级为最高级别。重大危险源分级方法由本规定附件</w:t>
      </w:r>
      <w:r>
        <w:rPr>
          <w:rFonts w:hint="eastAsia" w:ascii="宋体" w:hAnsi="宋体" w:eastAsia="宋体" w:cs="宋体"/>
          <w:kern w:val="0"/>
          <w:sz w:val="24"/>
          <w:szCs w:val="24"/>
          <w:lang w:val="en-US" w:eastAsia="zh-CN" w:bidi="ar"/>
        </w:rPr>
        <w:t>1</w:t>
      </w:r>
      <w:r>
        <w:rPr>
          <w:rFonts w:hint="eastAsia" w:ascii="Times New Roman" w:hAnsi="Times New Roman" w:eastAsia="宋体" w:cs="宋体"/>
          <w:kern w:val="0"/>
          <w:sz w:val="24"/>
          <w:szCs w:val="24"/>
          <w:lang w:val="en-US" w:eastAsia="zh-CN" w:bidi="ar"/>
        </w:rPr>
        <w:t>列示。</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第九条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重大危险源有下列情形之一的，应当委托具有相应资质的安全评价机构，按照有关标准的规定采用定量风险评价方法进行安全评估，确定个人和社会风险值：</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（一）构成一级或者二级重大危险源，且毒性气体实际存在（在线）量与其在《危险化学品重大危险源辨识》中规定的临界量比值之和大于或等于</w:t>
      </w:r>
      <w:r>
        <w:rPr>
          <w:rFonts w:hint="eastAsia" w:ascii="宋体" w:hAnsi="宋体" w:eastAsia="宋体" w:cs="宋体"/>
          <w:kern w:val="0"/>
          <w:sz w:val="24"/>
          <w:szCs w:val="24"/>
          <w:lang w:val="en-US" w:eastAsia="zh-CN" w:bidi="ar"/>
        </w:rPr>
        <w:t>1</w:t>
      </w:r>
      <w:r>
        <w:rPr>
          <w:rFonts w:hint="eastAsia" w:ascii="Times New Roman" w:hAnsi="Times New Roman" w:eastAsia="宋体" w:cs="宋体"/>
          <w:kern w:val="0"/>
          <w:sz w:val="24"/>
          <w:szCs w:val="24"/>
          <w:lang w:val="en-US" w:eastAsia="zh-CN" w:bidi="ar"/>
        </w:rPr>
        <w:t>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（二）构成一级重大危险源，且爆炸品或液化易燃气体实际存在（在线）量与其在《危险化学品重大危险源辨识》中规定的临界量比值之和大于或等于</w:t>
      </w:r>
      <w:r>
        <w:rPr>
          <w:rFonts w:hint="eastAsia" w:ascii="宋体" w:hAnsi="宋体" w:eastAsia="宋体" w:cs="宋体"/>
          <w:kern w:val="0"/>
          <w:sz w:val="24"/>
          <w:szCs w:val="24"/>
          <w:lang w:val="en-US" w:eastAsia="zh-CN" w:bidi="ar"/>
        </w:rPr>
        <w:t>1</w:t>
      </w:r>
      <w:r>
        <w:rPr>
          <w:rFonts w:hint="eastAsia" w:ascii="Times New Roman" w:hAnsi="Times New Roman" w:eastAsia="宋体" w:cs="宋体"/>
          <w:kern w:val="0"/>
          <w:sz w:val="24"/>
          <w:szCs w:val="24"/>
          <w:lang w:val="en-US" w:eastAsia="zh-CN" w:bidi="ar"/>
        </w:rPr>
        <w:t>的。</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重大危险源安全评估报告应当客观公正、数据准确、内容完整、结论明确、措施可行，并包括下列内容：</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（一）评估的主要依据；</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（二）重大危险源的基本情况；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（三）事故发生的可能性及危害程度；</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（四）个人风险和社会风险值（仅适用定量风险评价方法）；</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（五）可能受事故影响的周边场所、人员情况；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（六）重大危险源辨识、分级的符合性分析；</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（七）安全管理措施、安全技术和监控措施；</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（八）事故应急措施；</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（九）评估结论与建议。</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危险化学品单位以安全评价报告代替安全评估报告的，其安全评价报告中有关重大危险源的内容应当符合本条第一款规定的要求。</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第十一条</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有下列情形之一的，危险化学品单位应当对重大危险源重新进行辨识、安全评估及分级：</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（一）重大危险源安全评估已满三年的；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（二）构成重大危险源的装置、设施或者场所进行新建、改建、扩建的；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（三）危险化学品种类、数量、生产、使用工艺或者储存方式及重要设备、设施等发生变化，影响重大危险源级别或者风险程度的；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（四）外界生产安全环境因素发生变化，影响重大危险源级别和风险程度的；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（五）发生危险化学品事故造成人员死亡，或者</w:t>
      </w:r>
      <w:r>
        <w:rPr>
          <w:rFonts w:hint="eastAsia" w:ascii="宋体" w:hAnsi="宋体" w:eastAsia="宋体" w:cs="宋体"/>
          <w:kern w:val="0"/>
          <w:sz w:val="24"/>
          <w:szCs w:val="24"/>
          <w:lang w:val="en-US" w:eastAsia="zh-CN" w:bidi="ar"/>
        </w:rPr>
        <w:t>10</w:t>
      </w:r>
      <w:r>
        <w:rPr>
          <w:rFonts w:hint="eastAsia" w:ascii="Times New Roman" w:hAnsi="Times New Roman" w:eastAsia="宋体" w:cs="宋体"/>
          <w:kern w:val="0"/>
          <w:sz w:val="24"/>
          <w:szCs w:val="24"/>
          <w:lang w:val="en-US" w:eastAsia="zh-CN" w:bidi="ar"/>
        </w:rPr>
        <w:t>人以上受伤，或者影响到公共安全的；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（六）有关重大危险源辨识和安全评估的国家标准、行业标准发生变化的。</w:t>
      </w:r>
    </w:p>
    <w:p>
      <w:pPr>
        <w:keepNext w:val="0"/>
        <w:keepLines w:val="0"/>
        <w:widowControl/>
        <w:suppressLineNumbers w:val="0"/>
        <w:snapToGrid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24"/>
          <w:szCs w:val="24"/>
          <w:lang w:val="en-US" w:eastAsia="zh-CN" w:bidi="ar"/>
        </w:rPr>
        <w:t>第三章</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安全管理</w:t>
      </w:r>
      <w:r>
        <w:rPr>
          <w:rFonts w:hint="eastAsia" w:ascii="宋体" w:hAnsi="宋体" w:eastAsia="宋体" w:cs="宋体"/>
          <w:b/>
          <w:bCs w:val="0"/>
          <w:kern w:val="0"/>
          <w:sz w:val="24"/>
          <w:szCs w:val="24"/>
          <w:lang w:val="en-US" w:eastAsia="zh-CN" w:bidi="ar"/>
        </w:rPr>
        <w:t xml:space="preserve"> </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第十二条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危险化学品单位应当建立完善重大危险源安全管理规章制度和安全操作规程，并采取有效措施保证其得到执行。</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第十三条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危险化学品单位应当根据构成重大危险源的危险化学品种类、数量、生产、使用工艺（方式）或者相关设备、设施等实际情况，按照下列要求建立健全安全监测监控体系，完善控制措施：</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w:t>
      </w:r>
      <w:r>
        <w:rPr>
          <w:rFonts w:hint="eastAsia" w:ascii="宋体" w:hAnsi="宋体" w:eastAsia="宋体" w:cs="宋体"/>
          <w:kern w:val="0"/>
          <w:sz w:val="24"/>
          <w:szCs w:val="24"/>
          <w:lang w:val="en-US" w:eastAsia="zh-CN" w:bidi="ar"/>
        </w:rPr>
        <w:t>30</w:t>
      </w:r>
      <w:r>
        <w:rPr>
          <w:rFonts w:hint="eastAsia" w:ascii="Times New Roman" w:hAnsi="Times New Roman" w:eastAsia="宋体" w:cs="宋体"/>
          <w:kern w:val="0"/>
          <w:sz w:val="24"/>
          <w:szCs w:val="24"/>
          <w:lang w:val="en-US" w:eastAsia="zh-CN" w:bidi="ar"/>
        </w:rPr>
        <w:t>天；</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（二）重大危险源的化工生产装置装备满足安全生产要求的自动化控制系统；一级或者二级重大危险源，装备紧急停车系统；</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对重大危险源中的毒性气体、剧毒液体和易燃气体等重点设施，设置紧急切断装置；毒性气体的设施，设置泄漏物紧急处置装置。涉及毒性气体、液化气体、剧毒液体的一级或者二级重大危险源，配备独立的安全仪表系统（</w:t>
      </w:r>
      <w:r>
        <w:rPr>
          <w:rFonts w:hint="eastAsia" w:ascii="宋体" w:hAnsi="宋体" w:eastAsia="宋体" w:cs="宋体"/>
          <w:kern w:val="0"/>
          <w:sz w:val="24"/>
          <w:szCs w:val="24"/>
          <w:lang w:val="en-US" w:eastAsia="zh-CN" w:bidi="ar"/>
        </w:rPr>
        <w:t>SIS</w:t>
      </w:r>
      <w:r>
        <w:rPr>
          <w:rFonts w:hint="eastAsia" w:ascii="Times New Roman" w:hAnsi="Times New Roman" w:eastAsia="宋体" w:cs="宋体"/>
          <w:kern w:val="0"/>
          <w:sz w:val="24"/>
          <w:szCs w:val="24"/>
          <w:lang w:val="en-US" w:eastAsia="zh-CN" w:bidi="ar"/>
        </w:rPr>
        <w:t>）；</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（四）重大危险源中储存剧毒物质的场所或者设施，设置视频监控系统；</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（五）安全监测监控系统符合国家标准或者行业标准的规定。</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第十四条</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通过定量风险评价确定的重大危险源的个人和社会风险值，不得超过本规定附件</w:t>
      </w:r>
      <w:r>
        <w:rPr>
          <w:rFonts w:hint="eastAsia" w:ascii="宋体" w:hAnsi="宋体" w:eastAsia="宋体" w:cs="宋体"/>
          <w:kern w:val="0"/>
          <w:sz w:val="24"/>
          <w:szCs w:val="24"/>
          <w:lang w:val="en-US" w:eastAsia="zh-CN" w:bidi="ar"/>
        </w:rPr>
        <w:t>2</w:t>
      </w:r>
      <w:r>
        <w:rPr>
          <w:rFonts w:hint="eastAsia" w:ascii="Times New Roman" w:hAnsi="Times New Roman" w:eastAsia="宋体" w:cs="宋体"/>
          <w:kern w:val="0"/>
          <w:sz w:val="24"/>
          <w:szCs w:val="24"/>
          <w:lang w:val="en-US" w:eastAsia="zh-CN" w:bidi="ar"/>
        </w:rPr>
        <w:t>列示的个人和社会可容许风险限值标准。</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超过个人和社会可容许风险限值标准的，危险化学品单位应当采取相应的降低风险措施。</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第十五条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第十六条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第十七条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第十八条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危险化学品单位应当在重大危险源所在场所设置明显的安全警示标志，写明紧急情况下的应急处置办法。</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第十九条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危险化学品单位应当将重大危险源可能发生的事故后果和应急措施等信息，以适当方式告知可能受影响的单位、区域及人员。</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第二十一条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危险化学品单位应当制定重大危险源事故应急预案演练计划，并按照下列要求进行事故应急预案演练：</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（一）对重大危险源专项应急预案，每年至少进行一次；</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（二）对重大危险源现场处置方案，每半年至少进行一次。</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应急预案演练结束后，危险化学品单位应当对应急预案演练效果进行评估，撰写应急预案演练评估报告，分析存在的问题，对应急预案提出修订意见，并及时修订完善。</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第二十二条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危险化学品单位应当对辨识确认的重大危险源及时、逐项进行登记建档。</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重大危险源档案应当包括下列文件、资料：</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（一）辨识、分级记录；</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（二）重大危险源基本特征表；</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（三）涉及的所有化学品安全技术说明书；</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（四）区域位置图、平面布置图、工艺流程图和主要设备一览表；</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（五）重大危险源安全管理规章制度及安全操作规程；</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（六）安全监测监控系统、措施说明、检测、检验结果；</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（七）重大危险源事故应急预案、评审意见、演练计划和评估报告；</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（八）安全评估报告或者安全评价报告；</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（九）重大危险源关键装置、重点部位的责任人、责任机构名称；</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（十）重大危险源场所安全警示标志的设置情况；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（十一）其他文件、资料。</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第二十三条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危险化学品单位在完成重大危险源安全评估报告或者安全评价报告后</w:t>
      </w:r>
      <w:r>
        <w:rPr>
          <w:rFonts w:hint="eastAsia" w:ascii="宋体" w:hAnsi="宋体" w:eastAsia="宋体" w:cs="宋体"/>
          <w:kern w:val="0"/>
          <w:sz w:val="24"/>
          <w:szCs w:val="24"/>
          <w:lang w:val="en-US" w:eastAsia="zh-CN" w:bidi="ar"/>
        </w:rPr>
        <w:t>15</w:t>
      </w:r>
      <w:r>
        <w:rPr>
          <w:rFonts w:hint="eastAsia" w:ascii="Times New Roman" w:hAnsi="Times New Roman" w:eastAsia="宋体" w:cs="宋体"/>
          <w:kern w:val="0"/>
          <w:sz w:val="24"/>
          <w:szCs w:val="24"/>
          <w:lang w:val="en-US" w:eastAsia="zh-CN" w:bidi="ar"/>
        </w:rPr>
        <w:t>日内，应当填写重大危险源备案申请表，连同本规定第二十二条规定的重大危险源档案材料（其中第二款第五项规定的文件资料只需提供清单），报送所在地县级人民政府安全生产监督管理部门备案。</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重大危险源出现本规定第十一条所列情形之一的，危险化学品单位应当及时更新档案，并向所在地县级人民政府安全生产监督管理部门重新备案。</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第二十四条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危险化学品单位新建、改建和扩建危险化学品建设项目，应当在建设项目竣工验收前完成重大危险源的辨识、安全评估和分级、登记建档工作，并向所在地县级人民政府安全生产监督管理部门备案。</w:t>
      </w:r>
    </w:p>
    <w:p>
      <w:pPr>
        <w:keepNext w:val="0"/>
        <w:keepLines w:val="0"/>
        <w:widowControl/>
        <w:suppressLineNumbers w:val="0"/>
        <w:snapToGrid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24"/>
          <w:szCs w:val="24"/>
          <w:lang w:val="en-US" w:eastAsia="zh-CN" w:bidi="ar"/>
        </w:rPr>
        <w:t>第四章</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监督检查</w:t>
      </w:r>
      <w:r>
        <w:rPr>
          <w:rFonts w:hint="eastAsia" w:ascii="宋体" w:hAnsi="宋体" w:eastAsia="宋体" w:cs="宋体"/>
          <w:b/>
          <w:bCs w:val="0"/>
          <w:kern w:val="0"/>
          <w:sz w:val="24"/>
          <w:szCs w:val="24"/>
          <w:lang w:val="en-US" w:eastAsia="zh-CN" w:bidi="ar"/>
        </w:rPr>
        <w:t xml:space="preserve"> </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第二十五条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县级人民政府安全生产监督管理部门应当建立健全危险化学品重大危险源管理制度，明确责任人员，加强资料归档。</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第二十六条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县级人民政府安全生产监督管理部门应当在每年</w:t>
      </w:r>
      <w:r>
        <w:rPr>
          <w:rFonts w:hint="eastAsia" w:ascii="宋体" w:hAnsi="宋体" w:eastAsia="宋体" w:cs="宋体"/>
          <w:kern w:val="0"/>
          <w:sz w:val="24"/>
          <w:szCs w:val="24"/>
          <w:lang w:val="en-US" w:eastAsia="zh-CN" w:bidi="ar"/>
        </w:rPr>
        <w:t>1</w:t>
      </w:r>
      <w:r>
        <w:rPr>
          <w:rFonts w:hint="eastAsia" w:ascii="Times New Roman" w:hAnsi="Times New Roman" w:eastAsia="宋体" w:cs="宋体"/>
          <w:kern w:val="0"/>
          <w:sz w:val="24"/>
          <w:szCs w:val="24"/>
          <w:lang w:val="en-US" w:eastAsia="zh-CN" w:bidi="ar"/>
        </w:rPr>
        <w:t>月</w:t>
      </w:r>
      <w:r>
        <w:rPr>
          <w:rFonts w:hint="eastAsia" w:ascii="宋体" w:hAnsi="宋体" w:eastAsia="宋体" w:cs="宋体"/>
          <w:kern w:val="0"/>
          <w:sz w:val="24"/>
          <w:szCs w:val="24"/>
          <w:lang w:val="en-US" w:eastAsia="zh-CN" w:bidi="ar"/>
        </w:rPr>
        <w:t>15</w:t>
      </w:r>
      <w:r>
        <w:rPr>
          <w:rFonts w:hint="eastAsia" w:ascii="Times New Roman" w:hAnsi="Times New Roman" w:eastAsia="宋体" w:cs="宋体"/>
          <w:kern w:val="0"/>
          <w:sz w:val="24"/>
          <w:szCs w:val="24"/>
          <w:lang w:val="en-US" w:eastAsia="zh-CN" w:bidi="ar"/>
        </w:rPr>
        <w:t>日前，将辖区内上一年度重大危险源的汇总信息报送至设区的市级人民政府安全生产监督管理部门。设区的市级人民政府安全生产监督管理部门应当在每年</w:t>
      </w:r>
      <w:r>
        <w:rPr>
          <w:rFonts w:hint="eastAsia" w:ascii="宋体" w:hAnsi="宋体" w:eastAsia="宋体" w:cs="宋体"/>
          <w:kern w:val="0"/>
          <w:sz w:val="24"/>
          <w:szCs w:val="24"/>
          <w:lang w:val="en-US" w:eastAsia="zh-CN" w:bidi="ar"/>
        </w:rPr>
        <w:t>1</w:t>
      </w:r>
      <w:r>
        <w:rPr>
          <w:rFonts w:hint="eastAsia" w:ascii="Times New Roman" w:hAnsi="Times New Roman" w:eastAsia="宋体" w:cs="宋体"/>
          <w:kern w:val="0"/>
          <w:sz w:val="24"/>
          <w:szCs w:val="24"/>
          <w:lang w:val="en-US" w:eastAsia="zh-CN" w:bidi="ar"/>
        </w:rPr>
        <w:t>月</w:t>
      </w:r>
      <w:r>
        <w:rPr>
          <w:rFonts w:hint="eastAsia" w:ascii="宋体" w:hAnsi="宋体" w:eastAsia="宋体" w:cs="宋体"/>
          <w:kern w:val="0"/>
          <w:sz w:val="24"/>
          <w:szCs w:val="24"/>
          <w:lang w:val="en-US" w:eastAsia="zh-CN" w:bidi="ar"/>
        </w:rPr>
        <w:t>31</w:t>
      </w:r>
      <w:r>
        <w:rPr>
          <w:rFonts w:hint="eastAsia" w:ascii="Times New Roman" w:hAnsi="Times New Roman" w:eastAsia="宋体" w:cs="宋体"/>
          <w:kern w:val="0"/>
          <w:sz w:val="24"/>
          <w:szCs w:val="24"/>
          <w:lang w:val="en-US" w:eastAsia="zh-CN" w:bidi="ar"/>
        </w:rPr>
        <w:t>日前，将辖区内上一年度重大危险源的汇总信息报送至省级人民政府安全生产监督管理部门。省级人民政府安全生产监督管理部门应当在每年</w:t>
      </w:r>
      <w:r>
        <w:rPr>
          <w:rFonts w:hint="eastAsia" w:ascii="宋体" w:hAnsi="宋体" w:eastAsia="宋体" w:cs="宋体"/>
          <w:kern w:val="0"/>
          <w:sz w:val="24"/>
          <w:szCs w:val="24"/>
          <w:lang w:val="en-US" w:eastAsia="zh-CN" w:bidi="ar"/>
        </w:rPr>
        <w:t>2</w:t>
      </w:r>
      <w:r>
        <w:rPr>
          <w:rFonts w:hint="eastAsia" w:ascii="Times New Roman" w:hAnsi="Times New Roman" w:eastAsia="宋体" w:cs="宋体"/>
          <w:kern w:val="0"/>
          <w:sz w:val="24"/>
          <w:szCs w:val="24"/>
          <w:lang w:val="en-US" w:eastAsia="zh-CN" w:bidi="ar"/>
        </w:rPr>
        <w:t>月</w:t>
      </w:r>
      <w:r>
        <w:rPr>
          <w:rFonts w:hint="eastAsia" w:ascii="宋体" w:hAnsi="宋体" w:eastAsia="宋体" w:cs="宋体"/>
          <w:kern w:val="0"/>
          <w:sz w:val="24"/>
          <w:szCs w:val="24"/>
          <w:lang w:val="en-US" w:eastAsia="zh-CN" w:bidi="ar"/>
        </w:rPr>
        <w:t>15</w:t>
      </w:r>
      <w:r>
        <w:rPr>
          <w:rFonts w:hint="eastAsia" w:ascii="Times New Roman" w:hAnsi="Times New Roman" w:eastAsia="宋体" w:cs="宋体"/>
          <w:kern w:val="0"/>
          <w:sz w:val="24"/>
          <w:szCs w:val="24"/>
          <w:lang w:val="en-US" w:eastAsia="zh-CN" w:bidi="ar"/>
        </w:rPr>
        <w:t>日前，将辖区内上一年度重大危险源的汇总信息报送至国家安全生产监督管理总局。</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第二十七条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重大危险源经过安全评价或者安全评估不再构成重大危险源的，危险化学品单位应当向所在地县级人民政府安全生产监督管理部门申请核销。</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申请核销重大危险源应当提交下列文件、资料：</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（一）载明核销理由的申请书；</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（二）单位名称、法定代表人、住所、联系人、联系方式；</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（三）安全评价报告或者安全评估报告。</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第二十八条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县级人民政府安全生产监督管理部门应当自收到申请核销的文件、资料之日起</w:t>
      </w:r>
      <w:r>
        <w:rPr>
          <w:rFonts w:hint="eastAsia" w:ascii="宋体" w:hAnsi="宋体" w:eastAsia="宋体" w:cs="宋体"/>
          <w:kern w:val="0"/>
          <w:sz w:val="24"/>
          <w:szCs w:val="24"/>
          <w:lang w:val="en-US" w:eastAsia="zh-CN" w:bidi="ar"/>
        </w:rPr>
        <w:t>30</w:t>
      </w:r>
      <w:r>
        <w:rPr>
          <w:rFonts w:hint="eastAsia" w:ascii="Times New Roman" w:hAnsi="Times New Roman" w:eastAsia="宋体" w:cs="宋体"/>
          <w:kern w:val="0"/>
          <w:sz w:val="24"/>
          <w:szCs w:val="24"/>
          <w:lang w:val="en-US" w:eastAsia="zh-CN" w:bidi="ar"/>
        </w:rPr>
        <w:t>日内进行审查，符合条件的，予以核销并出具证明文书；不符合条件的，说明理由并书面告知申请单位。必要时，县级人民政府安全生产监督管理部门应当聘请有关专家进行现场核查。</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第二十九条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县级人民政府安全生产监督管理部门应当每季度将辖区内一级、二级重大危险源的核销材料报送至设区的市级人民政府安全生产监督管理部门。设区的市级人民政府安全生产监督管理部门应当每半年将辖区内一级重大危险源的核销材料报送至省级人民政府安全生产监督管理部门。</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首次对重大危险源的监督检查应当包括下列主要内容：</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（一）重大危险源的运行情况、安全管理规章制度及安全操作规程制定和落实情况；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（二）重大危险源的辨识、分级、安全评估、登记建档、备案情况；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（三）重大危险源的监测监控情况；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（四）重大危险源安全设施和安全监测监控系统的检测、检验以及维护保养情况；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（五）重大危险源事故应急预案的编制、评审、备案、修订和演练情况；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（六）有关从业人员的安全培训教育情况；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（七）安全标志设置情况；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（八）应急救援器材、设备、物资配备情况；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（九）预防和控制事故措施的落实情况。</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第三十一条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县级以上地方各级人民政府安全生产监督管理部门应当会同本级人民政府有关部门，加强对工业（化工）园区等重大危险源集中区域的监督检查，确保重大危险源与周边单位、居民区、人员密集场所等重要目标和敏感场所之间保持适当的安全距离。</w:t>
      </w:r>
    </w:p>
    <w:p>
      <w:pPr>
        <w:keepNext w:val="0"/>
        <w:keepLines w:val="0"/>
        <w:widowControl/>
        <w:suppressLineNumbers w:val="0"/>
        <w:snapToGrid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24"/>
          <w:szCs w:val="24"/>
          <w:lang w:val="en-US" w:eastAsia="zh-CN" w:bidi="ar"/>
        </w:rPr>
        <w:t>第五章</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法律责任</w:t>
      </w:r>
      <w:r>
        <w:rPr>
          <w:rFonts w:hint="eastAsia" w:ascii="宋体" w:hAnsi="宋体" w:eastAsia="宋体" w:cs="宋体"/>
          <w:b/>
          <w:bCs w:val="0"/>
          <w:kern w:val="0"/>
          <w:sz w:val="24"/>
          <w:szCs w:val="24"/>
          <w:lang w:val="en-US" w:eastAsia="zh-CN" w:bidi="ar"/>
        </w:rPr>
        <w:t xml:space="preserve"> </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第三十二条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危险化学品单位有下列行为之一的，由县级以上人民政府安全生产监督管理部门责令限期改正，可以处</w:t>
      </w:r>
      <w:r>
        <w:rPr>
          <w:rFonts w:hint="eastAsia" w:ascii="宋体" w:hAnsi="宋体" w:eastAsia="宋体" w:cs="宋体"/>
          <w:kern w:val="0"/>
          <w:sz w:val="24"/>
          <w:szCs w:val="24"/>
          <w:lang w:val="en-US" w:eastAsia="zh-CN" w:bidi="ar"/>
        </w:rPr>
        <w:t>10</w:t>
      </w:r>
      <w:r>
        <w:rPr>
          <w:rFonts w:hint="eastAsia" w:ascii="Times New Roman" w:hAnsi="Times New Roman" w:eastAsia="宋体" w:cs="宋体"/>
          <w:kern w:val="0"/>
          <w:sz w:val="24"/>
          <w:szCs w:val="24"/>
          <w:lang w:val="en-US" w:eastAsia="zh-CN" w:bidi="ar"/>
        </w:rPr>
        <w:t>万元以下的罚款；逾期未改正的，责令停产停业整顿，并处</w:t>
      </w:r>
      <w:r>
        <w:rPr>
          <w:rFonts w:hint="eastAsia" w:ascii="宋体" w:hAnsi="宋体" w:eastAsia="宋体" w:cs="宋体"/>
          <w:kern w:val="0"/>
          <w:sz w:val="24"/>
          <w:szCs w:val="24"/>
          <w:lang w:val="en-US" w:eastAsia="zh-CN" w:bidi="ar"/>
        </w:rPr>
        <w:t>10</w:t>
      </w:r>
      <w:r>
        <w:rPr>
          <w:rFonts w:hint="eastAsia" w:ascii="Times New Roman" w:hAnsi="Times New Roman" w:eastAsia="宋体" w:cs="宋体"/>
          <w:kern w:val="0"/>
          <w:sz w:val="24"/>
          <w:szCs w:val="24"/>
          <w:lang w:val="en-US" w:eastAsia="zh-CN" w:bidi="ar"/>
        </w:rPr>
        <w:t>万元以上</w:t>
      </w:r>
      <w:r>
        <w:rPr>
          <w:rFonts w:hint="eastAsia" w:ascii="宋体" w:hAnsi="宋体" w:eastAsia="宋体" w:cs="宋体"/>
          <w:kern w:val="0"/>
          <w:sz w:val="24"/>
          <w:szCs w:val="24"/>
          <w:lang w:val="en-US" w:eastAsia="zh-CN" w:bidi="ar"/>
        </w:rPr>
        <w:t>20</w:t>
      </w:r>
      <w:r>
        <w:rPr>
          <w:rFonts w:hint="eastAsia" w:ascii="Times New Roman" w:hAnsi="Times New Roman" w:eastAsia="宋体" w:cs="宋体"/>
          <w:kern w:val="0"/>
          <w:sz w:val="24"/>
          <w:szCs w:val="24"/>
          <w:lang w:val="en-US" w:eastAsia="zh-CN" w:bidi="ar"/>
        </w:rPr>
        <w:t>万元以下的罚款，对其直接负责的主管人员和其他直接责任人员处</w:t>
      </w:r>
      <w:r>
        <w:rPr>
          <w:rFonts w:hint="eastAsia" w:ascii="宋体" w:hAnsi="宋体" w:eastAsia="宋体" w:cs="宋体"/>
          <w:kern w:val="0"/>
          <w:sz w:val="24"/>
          <w:szCs w:val="24"/>
          <w:lang w:val="en-US" w:eastAsia="zh-CN" w:bidi="ar"/>
        </w:rPr>
        <w:t>2</w:t>
      </w:r>
      <w:r>
        <w:rPr>
          <w:rFonts w:hint="eastAsia" w:ascii="Times New Roman" w:hAnsi="Times New Roman" w:eastAsia="宋体" w:cs="宋体"/>
          <w:kern w:val="0"/>
          <w:sz w:val="24"/>
          <w:szCs w:val="24"/>
          <w:lang w:val="en-US" w:eastAsia="zh-CN" w:bidi="ar"/>
        </w:rPr>
        <w:t>万元以上</w:t>
      </w:r>
      <w:r>
        <w:rPr>
          <w:rFonts w:hint="eastAsia" w:ascii="宋体" w:hAnsi="宋体" w:eastAsia="宋体" w:cs="宋体"/>
          <w:kern w:val="0"/>
          <w:sz w:val="24"/>
          <w:szCs w:val="24"/>
          <w:lang w:val="en-US" w:eastAsia="zh-CN" w:bidi="ar"/>
        </w:rPr>
        <w:t>5</w:t>
      </w:r>
      <w:r>
        <w:rPr>
          <w:rFonts w:hint="eastAsia" w:ascii="Times New Roman" w:hAnsi="Times New Roman" w:eastAsia="宋体" w:cs="宋体"/>
          <w:kern w:val="0"/>
          <w:sz w:val="24"/>
          <w:szCs w:val="24"/>
          <w:lang w:val="en-US" w:eastAsia="zh-CN" w:bidi="ar"/>
        </w:rPr>
        <w:t>万元以下的罚款；构成犯罪的，依照刑法有关规定追究刑事责任：</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（一）未按照本规定要求对重大危险源进行安全评估或者安全评价的；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（二）未按照本规定要求对重大危险源进行登记建档的；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（三）未按照本规定及相关标准要求对重大危险源进行安全监测监控的；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（四）未制定重大危险源事故应急预案的。</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第三十三条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有下列行为之一的，由县级以上人民政府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（一）未在构成重大危险源的场所设置明显的安全警示标志的；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（二）未对重大危险源中的设备、设施等进行定期检测、检验的。</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第三十四条</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危险化学品单位有下列情形之一的，由县级以上人民政府安全生产监督管理部门给予警告，可以并处</w:t>
      </w:r>
      <w:r>
        <w:rPr>
          <w:rFonts w:hint="eastAsia" w:ascii="宋体" w:hAnsi="宋体" w:eastAsia="宋体" w:cs="宋体"/>
          <w:kern w:val="0"/>
          <w:sz w:val="24"/>
          <w:szCs w:val="24"/>
          <w:lang w:val="en-US" w:eastAsia="zh-CN" w:bidi="ar"/>
        </w:rPr>
        <w:t>5000</w:t>
      </w:r>
      <w:r>
        <w:rPr>
          <w:rFonts w:hint="eastAsia" w:ascii="Times New Roman" w:hAnsi="Times New Roman" w:eastAsia="宋体" w:cs="宋体"/>
          <w:kern w:val="0"/>
          <w:sz w:val="24"/>
          <w:szCs w:val="24"/>
          <w:lang w:val="en-US" w:eastAsia="zh-CN" w:bidi="ar"/>
        </w:rPr>
        <w:t>元以上</w:t>
      </w:r>
      <w:r>
        <w:rPr>
          <w:rFonts w:hint="eastAsia" w:ascii="宋体" w:hAnsi="宋体" w:eastAsia="宋体" w:cs="宋体"/>
          <w:kern w:val="0"/>
          <w:sz w:val="24"/>
          <w:szCs w:val="24"/>
          <w:lang w:val="en-US" w:eastAsia="zh-CN" w:bidi="ar"/>
        </w:rPr>
        <w:t>3</w:t>
      </w:r>
      <w:r>
        <w:rPr>
          <w:rFonts w:hint="eastAsia" w:ascii="Times New Roman" w:hAnsi="Times New Roman" w:eastAsia="宋体" w:cs="宋体"/>
          <w:kern w:val="0"/>
          <w:sz w:val="24"/>
          <w:szCs w:val="24"/>
          <w:lang w:val="en-US" w:eastAsia="zh-CN" w:bidi="ar"/>
        </w:rPr>
        <w:t>万元以下的罚款：</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（一）未按照标准对重大危险源进行辨识的；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（二）未按照本规定明确重大危险源中关键装置、重点部位的责任人或者责任机构的；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（三）未按照本规定建立应急救援组织或者配备应急救援人员，以及配备必要的防护装备及器材、设备、物资，并保障其完好的；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（四）未按照本规定进行重大危险源备案或者核销的；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（五）未将重大危险源可能引发的事故后果、应急措施等信息告知可能受影响的单位、区域及人员的；</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（六）未按照本规定要求开展重大危险源事故应急预案演练的。</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第三十五条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危险化学品单位未按照本规定对重大危险源的安全生产状况进行定期检查，采取措施消除事故隐患的，责令立即消除或者限期消除；危险化学品单位拒不执行的，责令停产停业整顿，并处１０万元以上２０万元以下的罚款，对其直接负责的主管人员和其他直接责任人员处２万元以上５万元以下的罚款。</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第三十六条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承担检测、检验、安全评价工作的机构，出具虚假证明的，没收违法所得；违法所得在１０万元以上的，并处违法所得２倍以上５倍以下的罚款；没有违法所得或者违法所得不足１０万元的，单处或者并处１０万元以上２０万元以下的罚款；对其直接负责的主管人员和其他直接责任人员处２万元以上５万元以下的罚款；给他人造成损害的，与危险化学品单位承担连带赔偿责任；构成犯罪的，依照刑法有关规定追究刑事责任。</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对有前款违法行为的机构，依法吊销其相应资质。</w:t>
      </w:r>
    </w:p>
    <w:p>
      <w:pPr>
        <w:keepNext w:val="0"/>
        <w:keepLines w:val="0"/>
        <w:widowControl/>
        <w:suppressLineNumbers w:val="0"/>
        <w:snapToGrid w:val="0"/>
        <w:spacing w:before="0" w:beforeAutospacing="0" w:after="312" w:afterLines="100" w:afterAutospacing="0" w:line="360" w:lineRule="exact"/>
        <w:ind w:left="0" w:right="0"/>
        <w:jc w:val="center"/>
      </w:pPr>
      <w:r>
        <w:rPr>
          <w:rFonts w:hint="eastAsia" w:ascii="Times New Roman" w:hAnsi="Times New Roman" w:eastAsia="宋体" w:cs="宋体"/>
          <w:b/>
          <w:bCs w:val="0"/>
          <w:kern w:val="0"/>
          <w:sz w:val="24"/>
          <w:szCs w:val="24"/>
          <w:lang w:val="en-US" w:eastAsia="zh-CN" w:bidi="ar"/>
        </w:rPr>
        <w:t>第六章</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附</w:t>
      </w:r>
      <w:r>
        <w:rPr>
          <w:rFonts w:hint="eastAsia" w:ascii="宋体" w:hAnsi="宋体" w:eastAsia="宋体" w:cs="宋体"/>
          <w:b/>
          <w:bCs w:val="0"/>
          <w:snapToGrid w:val="0"/>
          <w:kern w:val="0"/>
          <w:sz w:val="24"/>
          <w:szCs w:val="24"/>
          <w:lang w:val="en-US" w:eastAsia="zh-CN" w:bidi="ar"/>
        </w:rPr>
        <w:t xml:space="preserve"> </w:t>
      </w:r>
      <w:r>
        <w:rPr>
          <w:rFonts w:hint="eastAsia" w:ascii="Times New Roman" w:hAnsi="Times New Roman" w:eastAsia="宋体" w:cs="宋体"/>
          <w:b/>
          <w:bCs w:val="0"/>
          <w:kern w:val="0"/>
          <w:sz w:val="24"/>
          <w:szCs w:val="24"/>
          <w:lang w:val="en-US" w:eastAsia="zh-CN" w:bidi="ar"/>
        </w:rPr>
        <w:t>则</w:t>
      </w:r>
      <w:r>
        <w:rPr>
          <w:rFonts w:hint="eastAsia" w:ascii="宋体" w:hAnsi="宋体" w:eastAsia="宋体" w:cs="宋体"/>
          <w:b/>
          <w:bCs w:val="0"/>
          <w:kern w:val="0"/>
          <w:sz w:val="24"/>
          <w:szCs w:val="24"/>
          <w:lang w:val="en-US" w:eastAsia="zh-CN" w:bidi="ar"/>
        </w:rPr>
        <w:t xml:space="preserve"> </w:t>
      </w:r>
    </w:p>
    <w:p>
      <w:pPr>
        <w:keepNext w:val="0"/>
        <w:keepLines w:val="0"/>
        <w:widowControl/>
        <w:suppressLineNumbers w:val="0"/>
        <w:snapToGrid w:val="0"/>
        <w:spacing w:before="0" w:beforeAutospacing="0" w:after="312" w:afterLines="100" w:afterAutospacing="0" w:line="360" w:lineRule="exact"/>
        <w:ind w:left="0" w:right="0" w:firstLine="482" w:firstLineChars="200"/>
        <w:jc w:val="left"/>
      </w:pPr>
      <w:r>
        <w:rPr>
          <w:rFonts w:hint="eastAsia" w:ascii="Times New Roman" w:hAnsi="Times New Roman" w:eastAsia="宋体" w:cs="宋体"/>
          <w:b/>
          <w:bCs w:val="0"/>
          <w:kern w:val="0"/>
          <w:sz w:val="24"/>
          <w:szCs w:val="24"/>
          <w:lang w:val="en-US" w:eastAsia="zh-CN" w:bidi="ar"/>
        </w:rPr>
        <w:t>第三十七条</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本规定自</w:t>
      </w:r>
      <w:r>
        <w:rPr>
          <w:rFonts w:hint="eastAsia" w:ascii="宋体" w:hAnsi="宋体" w:eastAsia="宋体" w:cs="宋体"/>
          <w:snapToGrid w:val="0"/>
          <w:kern w:val="0"/>
          <w:sz w:val="24"/>
          <w:szCs w:val="24"/>
          <w:lang w:val="en-US" w:eastAsia="zh-CN" w:bidi="ar"/>
        </w:rPr>
        <w:t xml:space="preserve"> </w:t>
      </w:r>
      <w:r>
        <w:rPr>
          <w:rFonts w:hint="eastAsia" w:ascii="宋体" w:hAnsi="宋体" w:eastAsia="宋体" w:cs="宋体"/>
          <w:kern w:val="0"/>
          <w:sz w:val="24"/>
          <w:szCs w:val="24"/>
          <w:lang w:val="en-US" w:eastAsia="zh-CN" w:bidi="ar"/>
        </w:rPr>
        <w:t>2011</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年</w:t>
      </w:r>
      <w:r>
        <w:rPr>
          <w:rFonts w:hint="eastAsia" w:ascii="宋体" w:hAnsi="宋体" w:eastAsia="宋体" w:cs="宋体"/>
          <w:snapToGrid w:val="0"/>
          <w:kern w:val="0"/>
          <w:sz w:val="24"/>
          <w:szCs w:val="24"/>
          <w:lang w:val="en-US" w:eastAsia="zh-CN" w:bidi="ar"/>
        </w:rPr>
        <w:t xml:space="preserve"> </w:t>
      </w:r>
      <w:r>
        <w:rPr>
          <w:rFonts w:hint="eastAsia" w:ascii="宋体" w:hAnsi="宋体" w:eastAsia="宋体" w:cs="宋体"/>
          <w:kern w:val="0"/>
          <w:sz w:val="24"/>
          <w:szCs w:val="24"/>
          <w:lang w:val="en-US" w:eastAsia="zh-CN" w:bidi="ar"/>
        </w:rPr>
        <w:t>12</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月</w:t>
      </w:r>
      <w:r>
        <w:rPr>
          <w:rFonts w:hint="eastAsia" w:ascii="宋体" w:hAnsi="宋体" w:eastAsia="宋体" w:cs="宋体"/>
          <w:snapToGrid w:val="0"/>
          <w:kern w:val="0"/>
          <w:sz w:val="24"/>
          <w:szCs w:val="24"/>
          <w:lang w:val="en-US" w:eastAsia="zh-CN" w:bidi="ar"/>
        </w:rPr>
        <w:t xml:space="preserve"> </w:t>
      </w:r>
      <w:r>
        <w:rPr>
          <w:rFonts w:hint="eastAsia" w:ascii="宋体" w:hAnsi="宋体" w:eastAsia="宋体" w:cs="宋体"/>
          <w:kern w:val="0"/>
          <w:sz w:val="24"/>
          <w:szCs w:val="24"/>
          <w:lang w:val="en-US" w:eastAsia="zh-CN" w:bidi="ar"/>
        </w:rPr>
        <w:t>1</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日起</w:t>
      </w:r>
      <w:r>
        <w:rPr>
          <w:rFonts w:hint="eastAsia" w:ascii="宋体" w:hAnsi="宋体" w:eastAsia="宋体" w:cs="宋体"/>
          <w:snapToGrid w:val="0"/>
          <w:kern w:val="0"/>
          <w:sz w:val="24"/>
          <w:szCs w:val="24"/>
          <w:lang w:val="en-US" w:eastAsia="zh-CN" w:bidi="ar"/>
        </w:rPr>
        <w:t xml:space="preserve"> </w:t>
      </w:r>
      <w:r>
        <w:rPr>
          <w:rFonts w:hint="eastAsia" w:ascii="Times New Roman" w:hAnsi="Times New Roman" w:eastAsia="宋体" w:cs="宋体"/>
          <w:kern w:val="0"/>
          <w:sz w:val="24"/>
          <w:szCs w:val="24"/>
          <w:lang w:val="en-US" w:eastAsia="zh-CN" w:bidi="ar"/>
        </w:rPr>
        <w:t>施行。</w:t>
      </w:r>
    </w:p>
    <w:p>
      <w:pPr>
        <w:keepNext w:val="0"/>
        <w:keepLines w:val="0"/>
        <w:widowControl/>
        <w:suppressLineNumbers w:val="0"/>
        <w:snapToGrid w:val="0"/>
        <w:spacing w:before="0" w:beforeAutospacing="0" w:after="312" w:afterLines="100" w:afterAutospacing="0" w:line="360" w:lineRule="exact"/>
        <w:ind w:left="0" w:right="0" w:firstLine="480" w:firstLineChars="200"/>
        <w:jc w:val="left"/>
      </w:pPr>
      <w:r>
        <w:rPr>
          <w:rFonts w:hint="eastAsia" w:ascii="Times New Roman" w:hAnsi="Times New Roman" w:eastAsia="宋体" w:cs="宋体"/>
          <w:kern w:val="0"/>
          <w:sz w:val="24"/>
          <w:szCs w:val="24"/>
          <w:lang w:val="en-US" w:eastAsia="zh-CN" w:bidi="ar"/>
        </w:rPr>
        <w:t>附件：</w:t>
      </w: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"http://www.mem.gov.cn/gk/gwgg/zjl_01/201508/./W020171101522934859837.doc" \t "http://www.mem.gov.cn/gk/gwgg/zjl_01/201508/_blank" </w:instrText>
      </w:r>
      <w:r>
        <w:rPr>
          <w:rFonts w:hint="eastAsia" w:ascii="宋体" w:hAnsi="宋体" w:eastAsia="宋体" w:cs="宋体"/>
          <w:kern w:val="0"/>
          <w:sz w:val="22"/>
          <w:szCs w:val="22"/>
          <w:lang w:val="en-US" w:eastAsia="zh-CN" w:bidi="ar"/>
        </w:rPr>
        <w:fldChar w:fldCharType="separate"/>
      </w:r>
      <w:r>
        <w:rPr>
          <w:rStyle w:val="5"/>
          <w:rFonts w:hint="eastAsia" w:ascii="宋体" w:hAnsi="宋体" w:eastAsia="宋体" w:cs="宋体"/>
          <w:sz w:val="22"/>
          <w:szCs w:val="22"/>
          <w:lang w:val="en-US"/>
        </w:rPr>
        <w:t>1、危险化学品重大危险源分级方法</w:t>
      </w:r>
      <w:r>
        <w:rPr>
          <w:rFonts w:hint="eastAsia" w:ascii="宋体" w:hAnsi="宋体" w:eastAsia="宋体" w:cs="宋体"/>
          <w:kern w:val="0"/>
          <w:sz w:val="22"/>
          <w:szCs w:val="22"/>
          <w:lang w:val="en-US" w:eastAsia="zh-CN" w:bidi="ar"/>
        </w:rPr>
        <w:fldChar w:fldCharType="end"/>
      </w:r>
      <w:r>
        <w:rPr>
          <w:rFonts w:hint="eastAsia" w:ascii="宋体" w:hAnsi="宋体" w:eastAsia="宋体" w:cs="宋体"/>
          <w:kern w:val="0"/>
          <w:sz w:val="22"/>
          <w:szCs w:val="22"/>
          <w:lang w:val="en-US" w:eastAsia="zh-CN" w:bidi="ar"/>
        </w:rPr>
        <w:t xml:space="preserve"> </w:t>
      </w:r>
    </w:p>
    <w:p>
      <w:pPr>
        <w:keepNext w:val="0"/>
        <w:keepLines w:val="0"/>
        <w:widowControl/>
        <w:suppressLineNumbers w:val="0"/>
        <w:snapToGrid w:val="0"/>
        <w:spacing w:before="300" w:beforeAutospacing="0" w:after="312" w:afterAutospacing="0" w:line="380" w:lineRule="atLeast"/>
        <w:ind w:left="0" w:right="0" w:firstLine="440"/>
        <w:jc w:val="left"/>
      </w:pPr>
      <w:r>
        <w:rPr>
          <w:rFonts w:hint="eastAsia" w:ascii="宋体" w:hAnsi="宋体" w:eastAsia="宋体" w:cs="宋体"/>
          <w:kern w:val="0"/>
          <w:sz w:val="22"/>
          <w:szCs w:val="22"/>
          <w:lang w:val="en-US" w:eastAsia="zh-CN" w:bidi="ar"/>
        </w:rPr>
        <w:t xml:space="preserve">    </w:t>
      </w: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"http://www.mem.gov.cn/gk/gwgg/zjl_01/201508/./W020171101522934934997.doc" \t "http://www.mem.gov.cn/gk/gwgg/zjl_01/201508/_blank" </w:instrText>
      </w:r>
      <w:r>
        <w:rPr>
          <w:rFonts w:hint="eastAsia" w:ascii="宋体" w:hAnsi="宋体" w:eastAsia="宋体" w:cs="宋体"/>
          <w:kern w:val="0"/>
          <w:sz w:val="22"/>
          <w:szCs w:val="22"/>
          <w:lang w:val="en-US" w:eastAsia="zh-CN" w:bidi="ar"/>
        </w:rPr>
        <w:fldChar w:fldCharType="separate"/>
      </w:r>
      <w:r>
        <w:rPr>
          <w:rStyle w:val="5"/>
          <w:rFonts w:hint="eastAsia" w:ascii="宋体" w:hAnsi="宋体" w:eastAsia="宋体" w:cs="宋体"/>
          <w:sz w:val="22"/>
          <w:szCs w:val="22"/>
          <w:lang w:val="en-US"/>
        </w:rPr>
        <w:t>2、可容许风险标准</w:t>
      </w:r>
      <w:r>
        <w:rPr>
          <w:rFonts w:hint="eastAsia" w:ascii="宋体" w:hAnsi="宋体" w:eastAsia="宋体" w:cs="宋体"/>
          <w:kern w:val="0"/>
          <w:sz w:val="22"/>
          <w:szCs w:val="22"/>
          <w:lang w:val="en-US" w:eastAsia="zh-CN" w:bidi="ar"/>
        </w:rPr>
        <w:fldChar w:fldCharType="end"/>
      </w:r>
      <w:r>
        <w:rPr>
          <w:rFonts w:hint="eastAsia" w:ascii="宋体" w:hAnsi="宋体" w:eastAsia="宋体" w:cs="宋体"/>
          <w:kern w:val="0"/>
          <w:sz w:val="22"/>
          <w:szCs w:val="22"/>
          <w:lang w:val="en-US" w:eastAsia="zh-CN" w:bidi="ar"/>
        </w:rPr>
        <w:t xml:space="preserve"> </w:t>
      </w:r>
    </w:p>
    <w:p>
      <w:pPr>
        <w:keepNext w:val="0"/>
        <w:keepLines w:val="0"/>
        <w:widowControl/>
        <w:suppressLineNumbers w:val="0"/>
        <w:spacing w:before="300" w:beforeAutospacing="0" w:after="300" w:afterAutospacing="0"/>
        <w:ind w:left="0" w:right="0"/>
        <w:jc w:val="left"/>
      </w:pPr>
      <w:r>
        <w:rPr>
          <w:rFonts w:hint="eastAsia" w:ascii="宋体" w:hAnsi="宋体" w:eastAsia="宋体" w:cs="宋体"/>
          <w:kern w:val="0"/>
          <w:sz w:val="22"/>
          <w:szCs w:val="22"/>
          <w:lang w:val="en-US" w:eastAsia="zh-CN" w:bidi="ar"/>
        </w:rPr>
        <w:fldChar w:fldCharType="begin"/>
      </w:r>
      <w:r>
        <w:rPr>
          <w:rFonts w:hint="eastAsia" w:ascii="宋体" w:hAnsi="宋体" w:eastAsia="宋体" w:cs="宋体"/>
          <w:kern w:val="0"/>
          <w:sz w:val="22"/>
          <w:szCs w:val="22"/>
          <w:lang w:val="en-US" w:eastAsia="zh-CN" w:bidi="ar"/>
        </w:rPr>
        <w:instrText xml:space="preserve"> HYPERLINK "http://www.mem.gov.cn/gk/gwgg/zjl_01/201508/./W020171101522935001133.ppt" \t "http://www.mem.gov.cn/gk/gwgg/zjl_01/201508/_blank" </w:instrText>
      </w:r>
      <w:r>
        <w:rPr>
          <w:rFonts w:hint="eastAsia" w:ascii="宋体" w:hAnsi="宋体" w:eastAsia="宋体" w:cs="宋体"/>
          <w:kern w:val="0"/>
          <w:sz w:val="22"/>
          <w:szCs w:val="22"/>
          <w:lang w:val="en-US" w:eastAsia="zh-CN" w:bidi="ar"/>
        </w:rPr>
        <w:fldChar w:fldCharType="separate"/>
      </w:r>
    </w:p>
    <w:p>
      <w:pPr>
        <w:keepNext w:val="0"/>
        <w:keepLines w:val="0"/>
        <w:widowControl/>
        <w:suppressLineNumbers w:val="0"/>
        <w:snapToGrid w:val="0"/>
        <w:spacing w:before="300" w:beforeAutospacing="0" w:after="312" w:afterAutospacing="0" w:line="380" w:lineRule="atLeast"/>
        <w:ind w:left="0" w:right="0" w:firstLine="440"/>
        <w:jc w:val="left"/>
      </w:pPr>
      <w:r>
        <w:rPr>
          <w:rStyle w:val="5"/>
          <w:rFonts w:hint="eastAsia" w:ascii="宋体" w:hAnsi="宋体" w:eastAsia="宋体" w:cs="宋体"/>
          <w:sz w:val="22"/>
          <w:szCs w:val="22"/>
          <w:lang w:val="en-US"/>
        </w:rPr>
        <w:t xml:space="preserve">危险化学品重大危险源监督管理规定解读(PPT) </w:t>
      </w:r>
    </w:p>
    <w:p>
      <w:pPr>
        <w:keepNext w:val="0"/>
        <w:keepLines w:val="0"/>
        <w:widowControl/>
        <w:suppressLineNumbers w:val="0"/>
        <w:spacing w:before="300" w:beforeAutospacing="0" w:after="300" w:afterAutospacing="0"/>
        <w:ind w:left="0" w:right="0"/>
        <w:jc w:val="left"/>
      </w:pPr>
      <w:r>
        <w:rPr>
          <w:rFonts w:hint="eastAsia" w:ascii="宋体" w:hAnsi="宋体" w:eastAsia="宋体" w:cs="宋体"/>
          <w:kern w:val="0"/>
          <w:sz w:val="22"/>
          <w:szCs w:val="22"/>
          <w:lang w:val="en-US" w:eastAsia="zh-CN" w:bidi="ar"/>
        </w:rPr>
        <w:fldChar w:fldCharType="end"/>
      </w:r>
    </w:p>
    <w:p/>
    <w:p>
      <w:pPr>
        <w:spacing w:line="560" w:lineRule="exact"/>
        <w:rPr>
          <w:rFonts w:hint="eastAsia" w:ascii="仿宋_GB2312" w:eastAsia="仿宋_GB2312"/>
          <w:sz w:val="32"/>
          <w:szCs w:val="32"/>
        </w:rPr>
      </w:pPr>
      <w:r>
        <w:rPr>
          <w:rFonts w:hint="eastAsia" w:ascii="仿宋_GB2312" w:eastAsia="仿宋_GB2312"/>
          <w:sz w:val="32"/>
          <w:szCs w:val="32"/>
        </w:rPr>
        <w:t>附件1</w:t>
      </w:r>
    </w:p>
    <w:p>
      <w:pPr>
        <w:jc w:val="center"/>
        <w:rPr>
          <w:rFonts w:hint="eastAsia" w:ascii="华文中宋" w:hAnsi="华文中宋" w:eastAsia="华文中宋"/>
          <w:b/>
          <w:sz w:val="44"/>
          <w:szCs w:val="44"/>
        </w:rPr>
      </w:pPr>
      <w:r>
        <w:rPr>
          <w:rFonts w:ascii="华文中宋" w:hAnsi="华文中宋" w:eastAsia="华文中宋"/>
          <w:b/>
          <w:sz w:val="44"/>
          <w:szCs w:val="44"/>
        </w:rPr>
        <w:t>危险化学品重大危险源分级方法</w:t>
      </w:r>
    </w:p>
    <w:p>
      <w:pPr>
        <w:jc w:val="center"/>
        <w:rPr>
          <w:rFonts w:hint="eastAsia" w:ascii="华文中宋" w:hAnsi="华文中宋" w:eastAsia="华文中宋"/>
          <w:b/>
          <w:sz w:val="44"/>
          <w:szCs w:val="44"/>
        </w:rPr>
      </w:pPr>
    </w:p>
    <w:p>
      <w:pPr>
        <w:ind w:firstLine="640" w:firstLineChars="200"/>
        <w:rPr>
          <w:rFonts w:hint="eastAsia" w:ascii="黑体" w:eastAsia="黑体"/>
          <w:sz w:val="32"/>
          <w:szCs w:val="32"/>
        </w:rPr>
      </w:pPr>
      <w:r>
        <w:rPr>
          <w:rFonts w:hint="eastAsia" w:ascii="黑体" w:eastAsia="黑体"/>
          <w:sz w:val="32"/>
          <w:szCs w:val="32"/>
        </w:rPr>
        <w:t>一、分级指标</w:t>
      </w:r>
    </w:p>
    <w:p>
      <w:pPr>
        <w:ind w:firstLine="640" w:firstLineChars="200"/>
        <w:rPr>
          <w:rFonts w:hint="eastAsia" w:ascii="仿宋_GB2312" w:eastAsia="仿宋_GB2312"/>
          <w:sz w:val="32"/>
          <w:szCs w:val="32"/>
        </w:rPr>
      </w:pPr>
      <w:r>
        <w:rPr>
          <w:rFonts w:hint="eastAsia" w:ascii="仿宋_GB2312" w:eastAsia="仿宋_GB2312"/>
          <w:sz w:val="32"/>
          <w:szCs w:val="32"/>
        </w:rPr>
        <w:t>采用单元内各种危险化学品实际存在（在线）量与其在《危险化学品重大危险源辨识》（GB18218）中规定的临界量比值，经校正系数校正后的比值之和</w:t>
      </w:r>
      <w:r>
        <w:rPr>
          <w:rFonts w:hint="eastAsia" w:ascii="仿宋_GB2312" w:eastAsia="仿宋_GB2312"/>
          <w:i/>
          <w:sz w:val="32"/>
          <w:szCs w:val="32"/>
        </w:rPr>
        <w:t>R</w:t>
      </w:r>
      <w:r>
        <w:rPr>
          <w:rFonts w:hint="eastAsia" w:ascii="仿宋_GB2312" w:eastAsia="仿宋_GB2312"/>
          <w:sz w:val="32"/>
          <w:szCs w:val="32"/>
        </w:rPr>
        <w:t>作为分级指标。</w:t>
      </w:r>
    </w:p>
    <w:p>
      <w:pPr>
        <w:ind w:firstLine="640" w:firstLineChars="200"/>
        <w:rPr>
          <w:rFonts w:ascii="黑体" w:eastAsia="黑体"/>
          <w:sz w:val="32"/>
          <w:szCs w:val="32"/>
        </w:rPr>
      </w:pPr>
      <w:r>
        <w:rPr>
          <w:rFonts w:hint="eastAsia" w:ascii="黑体" w:eastAsia="黑体"/>
          <w:sz w:val="32"/>
          <w:szCs w:val="32"/>
        </w:rPr>
        <w:t>二、</w:t>
      </w:r>
      <w:r>
        <w:rPr>
          <w:rFonts w:ascii="黑体" w:eastAsia="黑体"/>
          <w:sz w:val="32"/>
          <w:szCs w:val="32"/>
        </w:rPr>
        <w:t>R的计算方法</w:t>
      </w:r>
    </w:p>
    <w:p>
      <w:pPr>
        <w:jc w:val="center"/>
        <w:rPr>
          <w:rFonts w:hint="eastAsia" w:ascii="仿宋_GB2312" w:eastAsia="仿宋_GB2312"/>
          <w:sz w:val="28"/>
          <w:szCs w:val="28"/>
        </w:rPr>
      </w:pPr>
      <w:r>
        <w:rPr>
          <w:position w:val="-32"/>
          <w:sz w:val="28"/>
          <w:szCs w:val="28"/>
        </w:rPr>
        <w:object>
          <v:shape id="_x0000_i1025" o:spt="75" type="#_x0000_t75" style="height:46.4pt;width:216.6pt;" o:ole="t" fillcolor="#BBE0E3" filled="f" o:preferrelative="t" stroked="f" coordsize="21600,21600">
            <v:path/>
            <v:fill on="f" alignshape="1" focussize="0,0"/>
            <v:stroke on="f"/>
            <v:imagedata r:id="rId5" grayscale="f" bilevel="f" o:title=""/>
            <o:lock v:ext="edit" aspectratio="t"/>
            <w10:wrap type="none"/>
            <w10:anchorlock/>
          </v:shape>
          <o:OLEObject Type="Embed" ProgID="Equation.3" ShapeID="_x0000_i1025" DrawAspect="Content" ObjectID="_1468075725" r:id="rId4">
            <o:LockedField>false</o:LockedField>
          </o:OLEObject>
        </w:object>
      </w:r>
    </w:p>
    <w:p>
      <w:pPr>
        <w:ind w:firstLine="640" w:firstLineChars="200"/>
        <w:rPr>
          <w:rFonts w:hint="eastAsia" w:ascii="仿宋_GB2312" w:eastAsia="仿宋_GB2312"/>
          <w:sz w:val="32"/>
          <w:szCs w:val="32"/>
        </w:rPr>
      </w:pPr>
      <w:r>
        <w:rPr>
          <w:rFonts w:hint="eastAsia" w:ascii="仿宋_GB2312" w:eastAsia="仿宋_GB2312"/>
          <w:sz w:val="32"/>
          <w:szCs w:val="32"/>
        </w:rPr>
        <w:t>式中：</w:t>
      </w:r>
    </w:p>
    <w:p>
      <w:pPr>
        <w:ind w:firstLine="1440" w:firstLineChars="450"/>
        <w:rPr>
          <w:rFonts w:hint="eastAsia" w:ascii="仿宋_GB2312" w:eastAsia="仿宋_GB2312"/>
          <w:sz w:val="32"/>
          <w:szCs w:val="32"/>
        </w:rPr>
      </w:pPr>
      <w:r>
        <w:rPr>
          <w:rFonts w:hint="eastAsia" w:ascii="仿宋_GB2312" w:eastAsia="仿宋_GB2312"/>
          <w:i/>
          <w:sz w:val="32"/>
          <w:szCs w:val="32"/>
        </w:rPr>
        <w:t>q</w:t>
      </w:r>
      <w:r>
        <w:rPr>
          <w:rFonts w:hint="eastAsia" w:ascii="仿宋_GB2312" w:eastAsia="仿宋_GB2312"/>
          <w:i/>
          <w:sz w:val="32"/>
          <w:szCs w:val="32"/>
          <w:vertAlign w:val="subscript"/>
        </w:rPr>
        <w:t>1</w:t>
      </w:r>
      <w:r>
        <w:rPr>
          <w:rFonts w:hint="eastAsia" w:ascii="仿宋_GB2312" w:eastAsia="仿宋_GB2312"/>
          <w:i/>
          <w:sz w:val="32"/>
          <w:szCs w:val="32"/>
        </w:rPr>
        <w:t>,q</w:t>
      </w:r>
      <w:r>
        <w:rPr>
          <w:rFonts w:hint="eastAsia" w:ascii="仿宋_GB2312" w:eastAsia="仿宋_GB2312"/>
          <w:i/>
          <w:sz w:val="32"/>
          <w:szCs w:val="32"/>
          <w:vertAlign w:val="subscript"/>
        </w:rPr>
        <w:t>2</w:t>
      </w:r>
      <w:r>
        <w:rPr>
          <w:rFonts w:hint="eastAsia" w:ascii="仿宋_GB2312" w:eastAsia="仿宋_GB2312"/>
          <w:i/>
          <w:sz w:val="32"/>
          <w:szCs w:val="32"/>
        </w:rPr>
        <w:t>,…,q</w:t>
      </w:r>
      <w:r>
        <w:rPr>
          <w:rFonts w:hint="eastAsia" w:ascii="仿宋_GB2312" w:eastAsia="仿宋_GB2312"/>
          <w:i/>
          <w:sz w:val="32"/>
          <w:szCs w:val="32"/>
          <w:vertAlign w:val="subscript"/>
        </w:rPr>
        <w:t>n</w:t>
      </w:r>
      <w:r>
        <w:rPr>
          <w:rFonts w:hint="eastAsia" w:ascii="仿宋_GB2312" w:eastAsia="仿宋_GB2312"/>
          <w:sz w:val="32"/>
          <w:szCs w:val="32"/>
        </w:rPr>
        <w:t xml:space="preserve"> —每种危险化学品实际存在（在线）量（单位：吨）；</w:t>
      </w:r>
    </w:p>
    <w:p>
      <w:pPr>
        <w:ind w:firstLine="1440" w:firstLineChars="450"/>
        <w:rPr>
          <w:rFonts w:hint="eastAsia" w:ascii="仿宋_GB2312" w:eastAsia="仿宋_GB2312"/>
          <w:sz w:val="32"/>
          <w:szCs w:val="32"/>
        </w:rPr>
      </w:pPr>
      <w:r>
        <w:rPr>
          <w:rFonts w:hint="eastAsia" w:ascii="仿宋_GB2312" w:eastAsia="仿宋_GB2312"/>
          <w:i/>
          <w:sz w:val="32"/>
          <w:szCs w:val="32"/>
        </w:rPr>
        <w:t>Q</w:t>
      </w:r>
      <w:r>
        <w:rPr>
          <w:rFonts w:hint="eastAsia" w:ascii="仿宋_GB2312" w:eastAsia="仿宋_GB2312"/>
          <w:i/>
          <w:sz w:val="32"/>
          <w:szCs w:val="32"/>
          <w:vertAlign w:val="subscript"/>
        </w:rPr>
        <w:t>1</w:t>
      </w:r>
      <w:r>
        <w:rPr>
          <w:rFonts w:hint="eastAsia" w:ascii="仿宋_GB2312" w:eastAsia="仿宋_GB2312"/>
          <w:i/>
          <w:sz w:val="32"/>
          <w:szCs w:val="32"/>
        </w:rPr>
        <w:t>,Q</w:t>
      </w:r>
      <w:r>
        <w:rPr>
          <w:rFonts w:hint="eastAsia" w:ascii="仿宋_GB2312" w:eastAsia="仿宋_GB2312"/>
          <w:i/>
          <w:sz w:val="32"/>
          <w:szCs w:val="32"/>
          <w:vertAlign w:val="subscript"/>
        </w:rPr>
        <w:t>2</w:t>
      </w:r>
      <w:r>
        <w:rPr>
          <w:rFonts w:hint="eastAsia" w:ascii="仿宋_GB2312" w:eastAsia="仿宋_GB2312"/>
          <w:i/>
          <w:sz w:val="32"/>
          <w:szCs w:val="32"/>
        </w:rPr>
        <w:t>,…,Q</w:t>
      </w:r>
      <w:r>
        <w:rPr>
          <w:rFonts w:hint="eastAsia" w:ascii="仿宋_GB2312" w:eastAsia="仿宋_GB2312"/>
          <w:i/>
          <w:sz w:val="32"/>
          <w:szCs w:val="32"/>
          <w:vertAlign w:val="subscript"/>
        </w:rPr>
        <w:t>n</w:t>
      </w:r>
      <w:r>
        <w:rPr>
          <w:rFonts w:hint="eastAsia" w:ascii="仿宋_GB2312" w:eastAsia="仿宋_GB2312"/>
          <w:sz w:val="32"/>
          <w:szCs w:val="32"/>
        </w:rPr>
        <w:t xml:space="preserve"> —与各危险化学品相对应的临界量（单位：吨）；</w:t>
      </w:r>
    </w:p>
    <w:p>
      <w:pPr>
        <w:ind w:firstLine="1440" w:firstLineChars="450"/>
        <w:rPr>
          <w:rFonts w:hint="eastAsia" w:ascii="仿宋_GB2312" w:eastAsia="仿宋_GB2312"/>
          <w:sz w:val="32"/>
          <w:szCs w:val="32"/>
        </w:rPr>
      </w:pPr>
      <w:r>
        <w:rPr>
          <w:rFonts w:hint="eastAsia" w:ascii="仿宋_GB2312" w:eastAsia="仿宋_GB2312"/>
          <w:i/>
          <w:sz w:val="32"/>
          <w:szCs w:val="32"/>
        </w:rPr>
        <w:t>β</w:t>
      </w:r>
      <w:r>
        <w:rPr>
          <w:rFonts w:hint="eastAsia" w:ascii="仿宋_GB2312" w:eastAsia="仿宋_GB2312"/>
          <w:i/>
          <w:sz w:val="32"/>
          <w:szCs w:val="32"/>
          <w:vertAlign w:val="subscript"/>
        </w:rPr>
        <w:t>1</w:t>
      </w:r>
      <w:r>
        <w:rPr>
          <w:rFonts w:hint="eastAsia" w:ascii="仿宋_GB2312" w:eastAsia="仿宋_GB2312"/>
          <w:sz w:val="32"/>
          <w:szCs w:val="32"/>
        </w:rPr>
        <w:t>，</w:t>
      </w:r>
      <w:r>
        <w:rPr>
          <w:rFonts w:hint="eastAsia" w:ascii="仿宋_GB2312" w:eastAsia="仿宋_GB2312"/>
          <w:i/>
          <w:sz w:val="32"/>
          <w:szCs w:val="32"/>
        </w:rPr>
        <w:t>β</w:t>
      </w:r>
      <w:r>
        <w:rPr>
          <w:rFonts w:hint="eastAsia" w:ascii="仿宋_GB2312" w:eastAsia="仿宋_GB2312"/>
          <w:i/>
          <w:sz w:val="32"/>
          <w:szCs w:val="32"/>
          <w:vertAlign w:val="subscript"/>
        </w:rPr>
        <w:t>2</w:t>
      </w:r>
      <w:r>
        <w:rPr>
          <w:rFonts w:hint="eastAsia" w:ascii="仿宋_GB2312" w:eastAsia="仿宋_GB2312"/>
          <w:i/>
          <w:sz w:val="32"/>
          <w:szCs w:val="32"/>
        </w:rPr>
        <w:t>…,β</w:t>
      </w:r>
      <w:r>
        <w:rPr>
          <w:rFonts w:hint="eastAsia" w:ascii="仿宋_GB2312" w:eastAsia="仿宋_GB2312"/>
          <w:i/>
          <w:sz w:val="32"/>
          <w:szCs w:val="32"/>
          <w:vertAlign w:val="subscript"/>
        </w:rPr>
        <w:t>n</w:t>
      </w:r>
      <w:r>
        <w:rPr>
          <w:rFonts w:hint="eastAsia" w:ascii="仿宋_GB2312" w:eastAsia="仿宋_GB2312"/>
          <w:sz w:val="32"/>
          <w:szCs w:val="32"/>
        </w:rPr>
        <w:t>— 与各危险化学品相对应的校正系数；</w:t>
      </w:r>
    </w:p>
    <w:p>
      <w:pPr>
        <w:ind w:firstLine="1440" w:firstLineChars="450"/>
        <w:rPr>
          <w:rFonts w:hint="eastAsia" w:ascii="仿宋_GB2312" w:eastAsia="仿宋_GB2312"/>
          <w:sz w:val="28"/>
          <w:szCs w:val="28"/>
        </w:rPr>
      </w:pPr>
      <w:r>
        <w:rPr>
          <w:rFonts w:hint="eastAsia" w:ascii="仿宋_GB2312" w:eastAsia="仿宋_GB2312"/>
          <w:i/>
          <w:sz w:val="32"/>
          <w:szCs w:val="32"/>
        </w:rPr>
        <w:t>α</w:t>
      </w:r>
      <w:r>
        <w:rPr>
          <w:rFonts w:hint="eastAsia" w:ascii="仿宋_GB2312" w:eastAsia="仿宋_GB2312"/>
          <w:sz w:val="32"/>
          <w:szCs w:val="32"/>
        </w:rPr>
        <w:t>— 该危险化学品重大危险源厂区外暴露人员的校正系数。</w:t>
      </w:r>
    </w:p>
    <w:p>
      <w:pPr>
        <w:ind w:firstLine="640" w:firstLineChars="200"/>
        <w:rPr>
          <w:rFonts w:ascii="黑体" w:eastAsia="黑体"/>
          <w:sz w:val="32"/>
          <w:szCs w:val="32"/>
        </w:rPr>
      </w:pPr>
      <w:r>
        <w:rPr>
          <w:rFonts w:hint="eastAsia" w:ascii="黑体" w:eastAsia="黑体"/>
          <w:sz w:val="32"/>
          <w:szCs w:val="32"/>
        </w:rPr>
        <w:t>三、</w:t>
      </w:r>
      <w:r>
        <w:rPr>
          <w:rFonts w:ascii="黑体" w:eastAsia="黑体"/>
          <w:sz w:val="32"/>
          <w:szCs w:val="32"/>
        </w:rPr>
        <w:t>校正系数β的</w:t>
      </w:r>
      <w:r>
        <w:rPr>
          <w:rFonts w:hint="eastAsia" w:ascii="黑体" w:eastAsia="黑体"/>
          <w:sz w:val="32"/>
          <w:szCs w:val="32"/>
        </w:rPr>
        <w:t>取值</w:t>
      </w:r>
    </w:p>
    <w:p>
      <w:pPr>
        <w:ind w:firstLine="640" w:firstLineChars="200"/>
        <w:rPr>
          <w:rFonts w:hint="eastAsia" w:ascii="仿宋_GB2312" w:eastAsia="仿宋_GB2312"/>
          <w:sz w:val="32"/>
          <w:szCs w:val="32"/>
        </w:rPr>
      </w:pPr>
      <w:r>
        <w:rPr>
          <w:rFonts w:hint="eastAsia" w:ascii="仿宋_GB2312" w:eastAsia="仿宋_GB2312"/>
          <w:sz w:val="32"/>
          <w:szCs w:val="32"/>
        </w:rPr>
        <w:t>根据单元内危险化学品的类别不同，设定校正系数</w:t>
      </w:r>
      <w:r>
        <w:rPr>
          <w:rFonts w:hint="eastAsia" w:ascii="仿宋_GB2312" w:eastAsia="仿宋_GB2312"/>
          <w:i/>
          <w:sz w:val="32"/>
          <w:szCs w:val="32"/>
        </w:rPr>
        <w:t>β</w:t>
      </w:r>
      <w:r>
        <w:rPr>
          <w:rFonts w:hint="eastAsia" w:ascii="仿宋_GB2312" w:eastAsia="仿宋_GB2312"/>
          <w:sz w:val="32"/>
          <w:szCs w:val="32"/>
        </w:rPr>
        <w:t>值，见表1和表2：</w:t>
      </w:r>
    </w:p>
    <w:p>
      <w:pPr>
        <w:jc w:val="center"/>
        <w:rPr>
          <w:rFonts w:hint="eastAsia" w:ascii="仿宋_GB2312" w:eastAsia="仿宋_GB2312"/>
          <w:sz w:val="30"/>
          <w:szCs w:val="30"/>
        </w:rPr>
      </w:pPr>
      <w:r>
        <w:rPr>
          <w:rFonts w:ascii="仿宋_GB2312" w:eastAsia="仿宋_GB2312"/>
          <w:sz w:val="28"/>
          <w:szCs w:val="28"/>
        </w:rPr>
        <w:br w:type="page"/>
      </w:r>
      <w:r>
        <w:rPr>
          <w:rFonts w:hint="eastAsia" w:ascii="仿宋_GB2312" w:eastAsia="仿宋_GB2312"/>
          <w:sz w:val="30"/>
          <w:szCs w:val="30"/>
        </w:rPr>
        <w:t>表1 校正系数</w:t>
      </w:r>
      <w:r>
        <w:rPr>
          <w:rFonts w:eastAsia="仿宋_GB2312"/>
          <w:i/>
          <w:sz w:val="30"/>
          <w:szCs w:val="30"/>
        </w:rPr>
        <w:t>β</w:t>
      </w:r>
      <w:r>
        <w:rPr>
          <w:rFonts w:hint="eastAsia" w:ascii="仿宋_GB2312" w:eastAsia="仿宋_GB2312"/>
          <w:sz w:val="30"/>
          <w:szCs w:val="30"/>
        </w:rPr>
        <w:t>取值表</w:t>
      </w:r>
    </w:p>
    <w:tbl>
      <w:tblPr>
        <w:tblStyle w:val="3"/>
        <w:tblW w:w="86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46"/>
        <w:gridCol w:w="1719"/>
        <w:gridCol w:w="1719"/>
        <w:gridCol w:w="1719"/>
        <w:gridCol w:w="17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46" w:type="dxa"/>
            <w:noWrap w:val="0"/>
            <w:vAlign w:val="center"/>
          </w:tcPr>
          <w:p>
            <w:pPr>
              <w:snapToGrid w:val="0"/>
              <w:jc w:val="center"/>
              <w:rPr>
                <w:rFonts w:eastAsia="仿宋_GB2312"/>
                <w:sz w:val="30"/>
                <w:szCs w:val="30"/>
              </w:rPr>
            </w:pPr>
            <w:r>
              <w:rPr>
                <w:rFonts w:eastAsia="仿宋_GB2312"/>
                <w:sz w:val="30"/>
                <w:szCs w:val="30"/>
              </w:rPr>
              <w:t>危险化学品</w:t>
            </w:r>
          </w:p>
          <w:p>
            <w:pPr>
              <w:snapToGrid w:val="0"/>
              <w:jc w:val="center"/>
              <w:rPr>
                <w:rFonts w:eastAsia="仿宋_GB2312"/>
                <w:sz w:val="30"/>
                <w:szCs w:val="30"/>
              </w:rPr>
            </w:pPr>
            <w:r>
              <w:rPr>
                <w:rFonts w:eastAsia="仿宋_GB2312"/>
                <w:sz w:val="30"/>
                <w:szCs w:val="30"/>
              </w:rPr>
              <w:t>类别</w:t>
            </w:r>
          </w:p>
        </w:tc>
        <w:tc>
          <w:tcPr>
            <w:tcW w:w="1719" w:type="dxa"/>
            <w:noWrap w:val="0"/>
            <w:vAlign w:val="center"/>
          </w:tcPr>
          <w:p>
            <w:pPr>
              <w:snapToGrid w:val="0"/>
              <w:jc w:val="center"/>
              <w:rPr>
                <w:rFonts w:eastAsia="仿宋_GB2312"/>
                <w:sz w:val="30"/>
                <w:szCs w:val="30"/>
              </w:rPr>
            </w:pPr>
            <w:r>
              <w:rPr>
                <w:rFonts w:hint="eastAsia" w:eastAsia="仿宋_GB2312"/>
                <w:sz w:val="30"/>
                <w:szCs w:val="30"/>
              </w:rPr>
              <w:t>毒性气体</w:t>
            </w:r>
          </w:p>
        </w:tc>
        <w:tc>
          <w:tcPr>
            <w:tcW w:w="1719" w:type="dxa"/>
            <w:noWrap w:val="0"/>
            <w:vAlign w:val="center"/>
          </w:tcPr>
          <w:p>
            <w:pPr>
              <w:snapToGrid w:val="0"/>
              <w:jc w:val="center"/>
              <w:rPr>
                <w:rFonts w:eastAsia="仿宋_GB2312"/>
                <w:sz w:val="30"/>
                <w:szCs w:val="30"/>
              </w:rPr>
            </w:pPr>
            <w:r>
              <w:rPr>
                <w:rFonts w:eastAsia="仿宋_GB2312"/>
                <w:sz w:val="30"/>
                <w:szCs w:val="30"/>
              </w:rPr>
              <w:t>爆炸品</w:t>
            </w:r>
          </w:p>
        </w:tc>
        <w:tc>
          <w:tcPr>
            <w:tcW w:w="1719" w:type="dxa"/>
            <w:noWrap w:val="0"/>
            <w:vAlign w:val="center"/>
          </w:tcPr>
          <w:p>
            <w:pPr>
              <w:snapToGrid w:val="0"/>
              <w:jc w:val="center"/>
              <w:rPr>
                <w:rFonts w:eastAsia="仿宋_GB2312"/>
                <w:sz w:val="30"/>
                <w:szCs w:val="30"/>
              </w:rPr>
            </w:pPr>
            <w:r>
              <w:rPr>
                <w:rFonts w:eastAsia="仿宋_GB2312"/>
                <w:sz w:val="30"/>
                <w:szCs w:val="30"/>
              </w:rPr>
              <w:t>易燃气体</w:t>
            </w:r>
          </w:p>
        </w:tc>
        <w:tc>
          <w:tcPr>
            <w:tcW w:w="1719" w:type="dxa"/>
            <w:noWrap w:val="0"/>
            <w:vAlign w:val="center"/>
          </w:tcPr>
          <w:p>
            <w:pPr>
              <w:snapToGrid w:val="0"/>
              <w:jc w:val="center"/>
              <w:rPr>
                <w:rFonts w:eastAsia="仿宋_GB2312"/>
                <w:sz w:val="30"/>
                <w:szCs w:val="30"/>
              </w:rPr>
            </w:pPr>
            <w:r>
              <w:rPr>
                <w:rFonts w:eastAsia="仿宋_GB2312"/>
                <w:sz w:val="30"/>
                <w:szCs w:val="30"/>
              </w:rPr>
              <w:t>其他类</w:t>
            </w:r>
          </w:p>
          <w:p>
            <w:pPr>
              <w:snapToGrid w:val="0"/>
              <w:jc w:val="center"/>
              <w:rPr>
                <w:rFonts w:eastAsia="仿宋_GB2312"/>
                <w:sz w:val="30"/>
                <w:szCs w:val="30"/>
              </w:rPr>
            </w:pPr>
            <w:r>
              <w:rPr>
                <w:rFonts w:eastAsia="仿宋_GB2312"/>
                <w:sz w:val="30"/>
                <w:szCs w:val="30"/>
              </w:rPr>
              <w:t>危险化学品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746" w:type="dxa"/>
            <w:noWrap w:val="0"/>
            <w:vAlign w:val="center"/>
          </w:tcPr>
          <w:p>
            <w:pPr>
              <w:jc w:val="center"/>
              <w:rPr>
                <w:rFonts w:eastAsia="仿宋_GB2312"/>
                <w:i/>
                <w:sz w:val="30"/>
                <w:szCs w:val="30"/>
              </w:rPr>
            </w:pPr>
            <w:r>
              <w:rPr>
                <w:rFonts w:eastAsia="仿宋_GB2312"/>
                <w:i/>
                <w:sz w:val="30"/>
                <w:szCs w:val="30"/>
              </w:rPr>
              <w:t>β</w:t>
            </w:r>
          </w:p>
        </w:tc>
        <w:tc>
          <w:tcPr>
            <w:tcW w:w="1719" w:type="dxa"/>
            <w:noWrap w:val="0"/>
            <w:vAlign w:val="center"/>
          </w:tcPr>
          <w:p>
            <w:pPr>
              <w:jc w:val="center"/>
              <w:rPr>
                <w:rFonts w:eastAsia="仿宋_GB2312"/>
                <w:sz w:val="30"/>
                <w:szCs w:val="30"/>
              </w:rPr>
            </w:pPr>
            <w:r>
              <w:rPr>
                <w:rFonts w:hint="eastAsia" w:eastAsia="仿宋_GB2312"/>
                <w:sz w:val="30"/>
                <w:szCs w:val="30"/>
              </w:rPr>
              <w:t>见表2</w:t>
            </w:r>
          </w:p>
        </w:tc>
        <w:tc>
          <w:tcPr>
            <w:tcW w:w="1719" w:type="dxa"/>
            <w:noWrap w:val="0"/>
            <w:vAlign w:val="center"/>
          </w:tcPr>
          <w:p>
            <w:pPr>
              <w:jc w:val="center"/>
              <w:rPr>
                <w:rFonts w:eastAsia="仿宋_GB2312"/>
                <w:sz w:val="30"/>
                <w:szCs w:val="30"/>
              </w:rPr>
            </w:pPr>
            <w:r>
              <w:rPr>
                <w:rFonts w:eastAsia="仿宋_GB2312"/>
                <w:sz w:val="30"/>
                <w:szCs w:val="30"/>
              </w:rPr>
              <w:t>2</w:t>
            </w:r>
          </w:p>
        </w:tc>
        <w:tc>
          <w:tcPr>
            <w:tcW w:w="1719" w:type="dxa"/>
            <w:noWrap w:val="0"/>
            <w:vAlign w:val="center"/>
          </w:tcPr>
          <w:p>
            <w:pPr>
              <w:jc w:val="center"/>
              <w:rPr>
                <w:rFonts w:eastAsia="仿宋_GB2312"/>
                <w:sz w:val="30"/>
                <w:szCs w:val="30"/>
              </w:rPr>
            </w:pPr>
            <w:r>
              <w:rPr>
                <w:rFonts w:eastAsia="仿宋_GB2312"/>
                <w:sz w:val="30"/>
                <w:szCs w:val="30"/>
              </w:rPr>
              <w:t>1.5</w:t>
            </w:r>
          </w:p>
        </w:tc>
        <w:tc>
          <w:tcPr>
            <w:tcW w:w="1719" w:type="dxa"/>
            <w:noWrap w:val="0"/>
            <w:vAlign w:val="center"/>
          </w:tcPr>
          <w:p>
            <w:pPr>
              <w:jc w:val="center"/>
              <w:rPr>
                <w:rFonts w:eastAsia="仿宋_GB2312"/>
                <w:sz w:val="30"/>
                <w:szCs w:val="30"/>
              </w:rPr>
            </w:pPr>
            <w:r>
              <w:rPr>
                <w:rFonts w:eastAsia="仿宋_GB2312"/>
                <w:sz w:val="30"/>
                <w:szCs w:val="30"/>
              </w:rPr>
              <w:t>1</w:t>
            </w:r>
          </w:p>
        </w:tc>
      </w:tr>
    </w:tbl>
    <w:p>
      <w:pPr>
        <w:ind w:firstLine="280" w:firstLineChars="100"/>
        <w:rPr>
          <w:rFonts w:hint="eastAsia" w:ascii="楷体_GB2312" w:eastAsia="楷体_GB2312"/>
          <w:sz w:val="28"/>
          <w:szCs w:val="28"/>
        </w:rPr>
      </w:pPr>
      <w:r>
        <w:rPr>
          <w:rFonts w:hint="eastAsia" w:ascii="楷体_GB2312" w:eastAsia="楷体_GB2312"/>
          <w:sz w:val="28"/>
          <w:szCs w:val="28"/>
        </w:rPr>
        <w:t>注：危险化学品类别依据《危险货物品名表》中分类标准确定。</w:t>
      </w:r>
    </w:p>
    <w:p>
      <w:pPr>
        <w:jc w:val="center"/>
        <w:rPr>
          <w:rFonts w:hint="eastAsia" w:eastAsia="仿宋_GB2312"/>
          <w:sz w:val="28"/>
          <w:szCs w:val="28"/>
        </w:rPr>
      </w:pPr>
    </w:p>
    <w:p>
      <w:pPr>
        <w:jc w:val="center"/>
        <w:rPr>
          <w:rFonts w:hint="eastAsia" w:ascii="仿宋_GB2312" w:eastAsia="仿宋_GB2312"/>
          <w:sz w:val="30"/>
          <w:szCs w:val="30"/>
        </w:rPr>
      </w:pPr>
      <w:r>
        <w:rPr>
          <w:rFonts w:hint="eastAsia" w:eastAsia="仿宋_GB2312"/>
          <w:sz w:val="30"/>
          <w:szCs w:val="30"/>
        </w:rPr>
        <w:t>表2 常见毒性气体</w:t>
      </w:r>
      <w:r>
        <w:rPr>
          <w:rFonts w:hint="eastAsia" w:ascii="仿宋_GB2312" w:eastAsia="仿宋_GB2312"/>
          <w:sz w:val="30"/>
          <w:szCs w:val="30"/>
        </w:rPr>
        <w:t>校正系数</w:t>
      </w:r>
      <w:r>
        <w:rPr>
          <w:rFonts w:eastAsia="仿宋_GB2312"/>
          <w:i/>
          <w:sz w:val="30"/>
          <w:szCs w:val="30"/>
        </w:rPr>
        <w:t>β</w:t>
      </w:r>
      <w:r>
        <w:rPr>
          <w:rFonts w:hint="eastAsia" w:eastAsia="仿宋_GB2312"/>
          <w:sz w:val="30"/>
          <w:szCs w:val="30"/>
        </w:rPr>
        <w:t>值</w:t>
      </w:r>
      <w:r>
        <w:rPr>
          <w:rFonts w:hint="eastAsia" w:ascii="仿宋_GB2312" w:eastAsia="仿宋_GB2312"/>
          <w:sz w:val="30"/>
          <w:szCs w:val="30"/>
        </w:rPr>
        <w:t>取值表</w:t>
      </w:r>
    </w:p>
    <w:tbl>
      <w:tblPr>
        <w:tblStyle w:val="3"/>
        <w:tblW w:w="862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033"/>
        <w:gridCol w:w="1034"/>
        <w:gridCol w:w="1034"/>
        <w:gridCol w:w="1033"/>
        <w:gridCol w:w="1034"/>
        <w:gridCol w:w="1034"/>
        <w:gridCol w:w="10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86" w:type="dxa"/>
            <w:noWrap w:val="0"/>
            <w:vAlign w:val="center"/>
          </w:tcPr>
          <w:p>
            <w:pPr>
              <w:snapToGrid w:val="0"/>
              <w:jc w:val="center"/>
              <w:rPr>
                <w:rFonts w:eastAsia="仿宋_GB2312"/>
                <w:sz w:val="30"/>
                <w:szCs w:val="30"/>
              </w:rPr>
            </w:pPr>
            <w:r>
              <w:rPr>
                <w:rFonts w:hint="eastAsia" w:eastAsia="仿宋_GB2312"/>
                <w:sz w:val="30"/>
                <w:szCs w:val="30"/>
              </w:rPr>
              <w:t>毒性气体名称</w:t>
            </w:r>
          </w:p>
        </w:tc>
        <w:tc>
          <w:tcPr>
            <w:tcW w:w="1033" w:type="dxa"/>
            <w:noWrap w:val="0"/>
            <w:vAlign w:val="center"/>
          </w:tcPr>
          <w:p>
            <w:pPr>
              <w:snapToGrid w:val="0"/>
              <w:ind w:left="-105" w:leftChars="-50" w:right="-105" w:rightChars="-50"/>
              <w:jc w:val="center"/>
              <w:rPr>
                <w:rFonts w:hint="eastAsia" w:eastAsia="仿宋_GB2312"/>
                <w:sz w:val="30"/>
                <w:szCs w:val="30"/>
              </w:rPr>
            </w:pPr>
            <w:r>
              <w:rPr>
                <w:rFonts w:eastAsia="仿宋_GB2312"/>
                <w:sz w:val="30"/>
                <w:szCs w:val="30"/>
              </w:rPr>
              <w:t>一氧</w:t>
            </w:r>
          </w:p>
          <w:p>
            <w:pPr>
              <w:snapToGrid w:val="0"/>
              <w:ind w:left="-105" w:leftChars="-50" w:right="-105" w:rightChars="-50"/>
              <w:jc w:val="center"/>
              <w:rPr>
                <w:rFonts w:eastAsia="仿宋_GB2312"/>
                <w:sz w:val="30"/>
                <w:szCs w:val="30"/>
              </w:rPr>
            </w:pPr>
            <w:r>
              <w:rPr>
                <w:rFonts w:eastAsia="仿宋_GB2312"/>
                <w:sz w:val="30"/>
                <w:szCs w:val="30"/>
              </w:rPr>
              <w:t>化碳</w:t>
            </w:r>
          </w:p>
        </w:tc>
        <w:tc>
          <w:tcPr>
            <w:tcW w:w="1034" w:type="dxa"/>
            <w:noWrap w:val="0"/>
            <w:vAlign w:val="center"/>
          </w:tcPr>
          <w:p>
            <w:pPr>
              <w:snapToGrid w:val="0"/>
              <w:ind w:left="-105" w:leftChars="-50" w:right="-105" w:rightChars="-50"/>
              <w:jc w:val="center"/>
              <w:rPr>
                <w:rFonts w:hint="eastAsia" w:eastAsia="仿宋_GB2312"/>
                <w:sz w:val="30"/>
                <w:szCs w:val="30"/>
              </w:rPr>
            </w:pPr>
            <w:r>
              <w:rPr>
                <w:rFonts w:eastAsia="仿宋_GB2312"/>
                <w:sz w:val="30"/>
                <w:szCs w:val="30"/>
              </w:rPr>
              <w:t>二氧</w:t>
            </w:r>
          </w:p>
          <w:p>
            <w:pPr>
              <w:snapToGrid w:val="0"/>
              <w:ind w:left="-105" w:leftChars="-50" w:right="-105" w:rightChars="-50"/>
              <w:jc w:val="center"/>
              <w:rPr>
                <w:rFonts w:eastAsia="仿宋_GB2312"/>
                <w:sz w:val="30"/>
                <w:szCs w:val="30"/>
              </w:rPr>
            </w:pPr>
            <w:r>
              <w:rPr>
                <w:rFonts w:eastAsia="仿宋_GB2312"/>
                <w:sz w:val="30"/>
                <w:szCs w:val="30"/>
              </w:rPr>
              <w:t>化硫</w:t>
            </w:r>
          </w:p>
        </w:tc>
        <w:tc>
          <w:tcPr>
            <w:tcW w:w="1034" w:type="dxa"/>
            <w:noWrap w:val="0"/>
            <w:vAlign w:val="center"/>
          </w:tcPr>
          <w:p>
            <w:pPr>
              <w:snapToGrid w:val="0"/>
              <w:ind w:left="-105" w:leftChars="-50" w:right="-105" w:rightChars="-50"/>
              <w:jc w:val="center"/>
              <w:rPr>
                <w:rFonts w:eastAsia="仿宋_GB2312"/>
                <w:sz w:val="30"/>
                <w:szCs w:val="30"/>
              </w:rPr>
            </w:pPr>
            <w:r>
              <w:rPr>
                <w:rFonts w:eastAsia="仿宋_GB2312"/>
                <w:sz w:val="30"/>
                <w:szCs w:val="30"/>
              </w:rPr>
              <w:t>氨</w:t>
            </w:r>
          </w:p>
        </w:tc>
        <w:tc>
          <w:tcPr>
            <w:tcW w:w="1033" w:type="dxa"/>
            <w:noWrap w:val="0"/>
            <w:vAlign w:val="center"/>
          </w:tcPr>
          <w:p>
            <w:pPr>
              <w:snapToGrid w:val="0"/>
              <w:ind w:left="-105" w:leftChars="-50" w:right="-105" w:rightChars="-50"/>
              <w:jc w:val="center"/>
              <w:rPr>
                <w:rFonts w:hint="eastAsia" w:eastAsia="仿宋_GB2312"/>
                <w:sz w:val="30"/>
                <w:szCs w:val="30"/>
              </w:rPr>
            </w:pPr>
            <w:r>
              <w:rPr>
                <w:rFonts w:eastAsia="仿宋_GB2312"/>
                <w:sz w:val="30"/>
                <w:szCs w:val="30"/>
              </w:rPr>
              <w:t>环氧</w:t>
            </w:r>
          </w:p>
          <w:p>
            <w:pPr>
              <w:snapToGrid w:val="0"/>
              <w:ind w:left="-105" w:leftChars="-50" w:right="-105" w:rightChars="-50"/>
              <w:jc w:val="center"/>
              <w:rPr>
                <w:rFonts w:eastAsia="仿宋_GB2312"/>
                <w:sz w:val="30"/>
                <w:szCs w:val="30"/>
              </w:rPr>
            </w:pPr>
            <w:r>
              <w:rPr>
                <w:rFonts w:eastAsia="仿宋_GB2312"/>
                <w:sz w:val="30"/>
                <w:szCs w:val="30"/>
              </w:rPr>
              <w:t>乙烷</w:t>
            </w:r>
          </w:p>
        </w:tc>
        <w:tc>
          <w:tcPr>
            <w:tcW w:w="1034" w:type="dxa"/>
            <w:noWrap w:val="0"/>
            <w:vAlign w:val="center"/>
          </w:tcPr>
          <w:p>
            <w:pPr>
              <w:snapToGrid w:val="0"/>
              <w:ind w:left="-105" w:leftChars="-50" w:right="-105" w:rightChars="-50"/>
              <w:jc w:val="center"/>
              <w:rPr>
                <w:rFonts w:eastAsia="仿宋_GB2312"/>
                <w:sz w:val="30"/>
                <w:szCs w:val="30"/>
              </w:rPr>
            </w:pPr>
            <w:r>
              <w:rPr>
                <w:rFonts w:eastAsia="仿宋_GB2312"/>
                <w:sz w:val="30"/>
                <w:szCs w:val="30"/>
              </w:rPr>
              <w:t>氯化氢</w:t>
            </w:r>
          </w:p>
        </w:tc>
        <w:tc>
          <w:tcPr>
            <w:tcW w:w="1034" w:type="dxa"/>
            <w:noWrap w:val="0"/>
            <w:vAlign w:val="center"/>
          </w:tcPr>
          <w:p>
            <w:pPr>
              <w:snapToGrid w:val="0"/>
              <w:ind w:left="-105" w:leftChars="-50" w:right="-105" w:rightChars="-50"/>
              <w:jc w:val="center"/>
              <w:rPr>
                <w:rFonts w:eastAsia="仿宋_GB2312"/>
                <w:sz w:val="30"/>
                <w:szCs w:val="30"/>
              </w:rPr>
            </w:pPr>
            <w:r>
              <w:rPr>
                <w:rFonts w:eastAsia="仿宋_GB2312"/>
                <w:sz w:val="30"/>
                <w:szCs w:val="30"/>
              </w:rPr>
              <w:t>溴甲烷</w:t>
            </w:r>
          </w:p>
        </w:tc>
        <w:tc>
          <w:tcPr>
            <w:tcW w:w="1034" w:type="dxa"/>
            <w:noWrap w:val="0"/>
            <w:vAlign w:val="center"/>
          </w:tcPr>
          <w:p>
            <w:pPr>
              <w:snapToGrid w:val="0"/>
              <w:ind w:left="-105" w:leftChars="-50" w:right="-105" w:rightChars="-50"/>
              <w:jc w:val="center"/>
              <w:rPr>
                <w:rFonts w:eastAsia="仿宋_GB2312"/>
                <w:sz w:val="30"/>
                <w:szCs w:val="30"/>
              </w:rPr>
            </w:pPr>
            <w:r>
              <w:rPr>
                <w:rFonts w:eastAsia="仿宋_GB2312"/>
                <w:sz w:val="30"/>
                <w:szCs w:val="30"/>
              </w:rPr>
              <w:t>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tcBorders>
              <w:bottom w:val="double" w:color="auto" w:sz="4" w:space="0"/>
            </w:tcBorders>
            <w:noWrap w:val="0"/>
            <w:vAlign w:val="center"/>
          </w:tcPr>
          <w:p>
            <w:pPr>
              <w:jc w:val="center"/>
              <w:rPr>
                <w:rFonts w:eastAsia="仿宋_GB2312"/>
                <w:i/>
                <w:sz w:val="30"/>
                <w:szCs w:val="30"/>
              </w:rPr>
            </w:pPr>
            <w:r>
              <w:rPr>
                <w:rFonts w:eastAsia="仿宋_GB2312"/>
                <w:i/>
                <w:sz w:val="30"/>
                <w:szCs w:val="30"/>
              </w:rPr>
              <w:t>β</w:t>
            </w:r>
          </w:p>
        </w:tc>
        <w:tc>
          <w:tcPr>
            <w:tcW w:w="1033"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2</w:t>
            </w:r>
          </w:p>
        </w:tc>
        <w:tc>
          <w:tcPr>
            <w:tcW w:w="1034"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2</w:t>
            </w:r>
          </w:p>
        </w:tc>
        <w:tc>
          <w:tcPr>
            <w:tcW w:w="1034"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2</w:t>
            </w:r>
          </w:p>
        </w:tc>
        <w:tc>
          <w:tcPr>
            <w:tcW w:w="1033"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2</w:t>
            </w:r>
          </w:p>
        </w:tc>
        <w:tc>
          <w:tcPr>
            <w:tcW w:w="1034"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3</w:t>
            </w:r>
          </w:p>
        </w:tc>
        <w:tc>
          <w:tcPr>
            <w:tcW w:w="1034"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3</w:t>
            </w:r>
          </w:p>
        </w:tc>
        <w:tc>
          <w:tcPr>
            <w:tcW w:w="1034" w:type="dxa"/>
            <w:tcBorders>
              <w:bottom w:val="double" w:color="auto" w:sz="4" w:space="0"/>
            </w:tcBorders>
            <w:noWrap w:val="0"/>
            <w:vAlign w:val="center"/>
          </w:tcPr>
          <w:p>
            <w:pPr>
              <w:ind w:left="-105" w:leftChars="-50" w:right="-105" w:rightChars="-50"/>
              <w:jc w:val="center"/>
              <w:rPr>
                <w:rFonts w:eastAsia="仿宋_GB2312"/>
                <w:sz w:val="30"/>
                <w:szCs w:val="30"/>
              </w:rPr>
            </w:pPr>
            <w:r>
              <w:rPr>
                <w:rFonts w:hint="eastAsia" w:eastAsia="仿宋_GB2312"/>
                <w:sz w:val="30"/>
                <w:szCs w:val="30"/>
              </w:rPr>
              <w:t>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tcBorders>
              <w:top w:val="double" w:color="auto" w:sz="4" w:space="0"/>
            </w:tcBorders>
            <w:noWrap w:val="0"/>
            <w:vAlign w:val="center"/>
          </w:tcPr>
          <w:p>
            <w:pPr>
              <w:snapToGrid w:val="0"/>
              <w:spacing w:line="360" w:lineRule="exact"/>
              <w:jc w:val="center"/>
              <w:rPr>
                <w:rFonts w:eastAsia="仿宋_GB2312"/>
                <w:sz w:val="30"/>
                <w:szCs w:val="30"/>
              </w:rPr>
            </w:pPr>
            <w:r>
              <w:rPr>
                <w:rFonts w:hint="eastAsia" w:eastAsia="仿宋_GB2312"/>
                <w:sz w:val="30"/>
                <w:szCs w:val="30"/>
              </w:rPr>
              <w:t>毒性气体名称</w:t>
            </w:r>
          </w:p>
        </w:tc>
        <w:tc>
          <w:tcPr>
            <w:tcW w:w="1033" w:type="dxa"/>
            <w:tcBorders>
              <w:top w:val="double" w:color="auto" w:sz="4" w:space="0"/>
            </w:tcBorders>
            <w:noWrap w:val="0"/>
            <w:vAlign w:val="center"/>
          </w:tcPr>
          <w:p>
            <w:pPr>
              <w:spacing w:line="360" w:lineRule="exact"/>
              <w:ind w:left="-105" w:leftChars="-50" w:right="-105" w:rightChars="-50"/>
              <w:jc w:val="center"/>
              <w:rPr>
                <w:rFonts w:hint="eastAsia" w:eastAsia="仿宋_GB2312"/>
                <w:sz w:val="30"/>
                <w:szCs w:val="30"/>
              </w:rPr>
            </w:pPr>
            <w:r>
              <w:rPr>
                <w:rFonts w:eastAsia="仿宋_GB2312"/>
                <w:sz w:val="30"/>
                <w:szCs w:val="30"/>
              </w:rPr>
              <w:t>硫化氢</w:t>
            </w:r>
          </w:p>
        </w:tc>
        <w:tc>
          <w:tcPr>
            <w:tcW w:w="1034" w:type="dxa"/>
            <w:tcBorders>
              <w:top w:val="double" w:color="auto" w:sz="4" w:space="0"/>
            </w:tcBorders>
            <w:noWrap w:val="0"/>
            <w:vAlign w:val="center"/>
          </w:tcPr>
          <w:p>
            <w:pPr>
              <w:spacing w:line="360" w:lineRule="exact"/>
              <w:ind w:left="-105" w:leftChars="-50" w:right="-105" w:rightChars="-50"/>
              <w:jc w:val="center"/>
              <w:rPr>
                <w:rFonts w:hint="eastAsia" w:eastAsia="仿宋_GB2312"/>
                <w:sz w:val="30"/>
                <w:szCs w:val="30"/>
              </w:rPr>
            </w:pPr>
            <w:r>
              <w:rPr>
                <w:rFonts w:eastAsia="仿宋_GB2312"/>
                <w:sz w:val="30"/>
                <w:szCs w:val="30"/>
              </w:rPr>
              <w:t>氟化氢</w:t>
            </w:r>
          </w:p>
        </w:tc>
        <w:tc>
          <w:tcPr>
            <w:tcW w:w="1034" w:type="dxa"/>
            <w:tcBorders>
              <w:top w:val="double" w:color="auto" w:sz="4" w:space="0"/>
            </w:tcBorders>
            <w:noWrap w:val="0"/>
            <w:vAlign w:val="center"/>
          </w:tcPr>
          <w:p>
            <w:pPr>
              <w:spacing w:line="360" w:lineRule="exact"/>
              <w:ind w:left="-105" w:leftChars="-50" w:right="-105" w:rightChars="-50"/>
              <w:jc w:val="center"/>
              <w:rPr>
                <w:rFonts w:hint="eastAsia" w:eastAsia="仿宋_GB2312"/>
                <w:sz w:val="30"/>
                <w:szCs w:val="30"/>
              </w:rPr>
            </w:pPr>
            <w:r>
              <w:rPr>
                <w:rFonts w:eastAsia="仿宋_GB2312"/>
                <w:sz w:val="30"/>
                <w:szCs w:val="30"/>
              </w:rPr>
              <w:t>二氧</w:t>
            </w:r>
          </w:p>
          <w:p>
            <w:pPr>
              <w:spacing w:line="360" w:lineRule="exact"/>
              <w:ind w:left="-105" w:leftChars="-50" w:right="-105" w:rightChars="-50"/>
              <w:jc w:val="center"/>
              <w:rPr>
                <w:rFonts w:hint="eastAsia" w:eastAsia="仿宋_GB2312"/>
                <w:sz w:val="30"/>
                <w:szCs w:val="30"/>
              </w:rPr>
            </w:pPr>
            <w:r>
              <w:rPr>
                <w:rFonts w:eastAsia="仿宋_GB2312"/>
                <w:sz w:val="30"/>
                <w:szCs w:val="30"/>
              </w:rPr>
              <w:t>化氮</w:t>
            </w:r>
          </w:p>
        </w:tc>
        <w:tc>
          <w:tcPr>
            <w:tcW w:w="1033" w:type="dxa"/>
            <w:tcBorders>
              <w:top w:val="double" w:color="auto" w:sz="4" w:space="0"/>
            </w:tcBorders>
            <w:noWrap w:val="0"/>
            <w:vAlign w:val="center"/>
          </w:tcPr>
          <w:p>
            <w:pPr>
              <w:spacing w:line="360" w:lineRule="exact"/>
              <w:ind w:left="-105" w:leftChars="-50" w:right="-105" w:rightChars="-50"/>
              <w:jc w:val="center"/>
              <w:rPr>
                <w:rFonts w:hint="eastAsia" w:eastAsia="仿宋_GB2312"/>
                <w:sz w:val="30"/>
                <w:szCs w:val="30"/>
              </w:rPr>
            </w:pPr>
            <w:r>
              <w:rPr>
                <w:rFonts w:eastAsia="仿宋_GB2312"/>
                <w:sz w:val="30"/>
                <w:szCs w:val="30"/>
              </w:rPr>
              <w:t>氰化氢</w:t>
            </w:r>
          </w:p>
        </w:tc>
        <w:tc>
          <w:tcPr>
            <w:tcW w:w="1034" w:type="dxa"/>
            <w:tcBorders>
              <w:top w:val="double" w:color="auto" w:sz="4" w:space="0"/>
            </w:tcBorders>
            <w:noWrap w:val="0"/>
            <w:vAlign w:val="center"/>
          </w:tcPr>
          <w:p>
            <w:pPr>
              <w:spacing w:line="360" w:lineRule="exact"/>
              <w:ind w:left="-105" w:leftChars="-50" w:right="-105" w:rightChars="-50"/>
              <w:jc w:val="center"/>
              <w:rPr>
                <w:rFonts w:hint="eastAsia" w:eastAsia="仿宋_GB2312"/>
                <w:sz w:val="30"/>
                <w:szCs w:val="30"/>
              </w:rPr>
            </w:pPr>
            <w:r>
              <w:rPr>
                <w:rFonts w:eastAsia="仿宋_GB2312"/>
                <w:sz w:val="30"/>
                <w:szCs w:val="30"/>
              </w:rPr>
              <w:t>碳酰氯</w:t>
            </w:r>
          </w:p>
        </w:tc>
        <w:tc>
          <w:tcPr>
            <w:tcW w:w="1034" w:type="dxa"/>
            <w:tcBorders>
              <w:top w:val="double" w:color="auto" w:sz="4" w:space="0"/>
            </w:tcBorders>
            <w:noWrap w:val="0"/>
            <w:vAlign w:val="center"/>
          </w:tcPr>
          <w:p>
            <w:pPr>
              <w:spacing w:line="360" w:lineRule="exact"/>
              <w:ind w:left="-105" w:leftChars="-50" w:right="-105" w:rightChars="-50"/>
              <w:jc w:val="center"/>
              <w:rPr>
                <w:rFonts w:eastAsia="仿宋_GB2312"/>
                <w:sz w:val="30"/>
                <w:szCs w:val="30"/>
              </w:rPr>
            </w:pPr>
            <w:r>
              <w:rPr>
                <w:rFonts w:eastAsia="仿宋_GB2312"/>
                <w:sz w:val="30"/>
                <w:szCs w:val="30"/>
              </w:rPr>
              <w:t>磷化氢</w:t>
            </w:r>
          </w:p>
        </w:tc>
        <w:tc>
          <w:tcPr>
            <w:tcW w:w="1034" w:type="dxa"/>
            <w:tcBorders>
              <w:top w:val="double" w:color="auto" w:sz="4" w:space="0"/>
            </w:tcBorders>
            <w:noWrap w:val="0"/>
            <w:vAlign w:val="center"/>
          </w:tcPr>
          <w:p>
            <w:pPr>
              <w:spacing w:line="360" w:lineRule="exact"/>
              <w:ind w:left="-105" w:leftChars="-50" w:right="-105" w:rightChars="-50"/>
              <w:jc w:val="center"/>
              <w:rPr>
                <w:rFonts w:eastAsia="仿宋_GB2312"/>
                <w:sz w:val="30"/>
                <w:szCs w:val="30"/>
              </w:rPr>
            </w:pPr>
            <w:r>
              <w:rPr>
                <w:rFonts w:eastAsia="仿宋_GB2312"/>
                <w:sz w:val="30"/>
                <w:szCs w:val="30"/>
              </w:rPr>
              <w:t>异氰酸甲酯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86" w:type="dxa"/>
            <w:noWrap w:val="0"/>
            <w:vAlign w:val="center"/>
          </w:tcPr>
          <w:p>
            <w:pPr>
              <w:snapToGrid w:val="0"/>
              <w:jc w:val="center"/>
              <w:rPr>
                <w:rFonts w:eastAsia="仿宋_GB2312"/>
                <w:i/>
                <w:sz w:val="30"/>
                <w:szCs w:val="30"/>
              </w:rPr>
            </w:pPr>
            <w:r>
              <w:rPr>
                <w:rFonts w:eastAsia="仿宋_GB2312"/>
                <w:i/>
                <w:sz w:val="30"/>
                <w:szCs w:val="30"/>
              </w:rPr>
              <w:t>β</w:t>
            </w:r>
          </w:p>
        </w:tc>
        <w:tc>
          <w:tcPr>
            <w:tcW w:w="1033"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5</w:t>
            </w:r>
          </w:p>
        </w:tc>
        <w:tc>
          <w:tcPr>
            <w:tcW w:w="1034"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5</w:t>
            </w:r>
          </w:p>
        </w:tc>
        <w:tc>
          <w:tcPr>
            <w:tcW w:w="1034"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10</w:t>
            </w:r>
          </w:p>
        </w:tc>
        <w:tc>
          <w:tcPr>
            <w:tcW w:w="1033"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10</w:t>
            </w:r>
          </w:p>
        </w:tc>
        <w:tc>
          <w:tcPr>
            <w:tcW w:w="1034"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20</w:t>
            </w:r>
          </w:p>
        </w:tc>
        <w:tc>
          <w:tcPr>
            <w:tcW w:w="1034"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20</w:t>
            </w:r>
          </w:p>
        </w:tc>
        <w:tc>
          <w:tcPr>
            <w:tcW w:w="1034" w:type="dxa"/>
            <w:noWrap w:val="0"/>
            <w:vAlign w:val="center"/>
          </w:tcPr>
          <w:p>
            <w:pPr>
              <w:snapToGrid w:val="0"/>
              <w:ind w:left="-105" w:leftChars="-50" w:right="-105" w:rightChars="-50"/>
              <w:jc w:val="center"/>
              <w:rPr>
                <w:rFonts w:eastAsia="仿宋_GB2312"/>
                <w:sz w:val="30"/>
                <w:szCs w:val="30"/>
              </w:rPr>
            </w:pPr>
            <w:r>
              <w:rPr>
                <w:rFonts w:hint="eastAsia" w:eastAsia="仿宋_GB2312"/>
                <w:sz w:val="30"/>
                <w:szCs w:val="30"/>
              </w:rPr>
              <w:t>20</w:t>
            </w:r>
          </w:p>
        </w:tc>
      </w:tr>
    </w:tbl>
    <w:p>
      <w:pPr>
        <w:ind w:firstLine="280" w:firstLineChars="100"/>
        <w:rPr>
          <w:rFonts w:hint="eastAsia" w:ascii="楷体_GB2312" w:eastAsia="楷体_GB2312"/>
          <w:sz w:val="28"/>
          <w:szCs w:val="28"/>
        </w:rPr>
      </w:pPr>
      <w:r>
        <w:rPr>
          <w:rFonts w:hint="eastAsia" w:ascii="楷体_GB2312" w:eastAsia="楷体_GB2312"/>
          <w:sz w:val="28"/>
          <w:szCs w:val="28"/>
        </w:rPr>
        <w:t>注：未在表2中列出的有毒气体可按</w:t>
      </w:r>
      <w:r>
        <w:rPr>
          <w:rFonts w:ascii="楷体_GB2312" w:eastAsia="楷体_GB2312"/>
          <w:i/>
          <w:sz w:val="28"/>
          <w:szCs w:val="28"/>
        </w:rPr>
        <w:t>β</w:t>
      </w:r>
      <w:r>
        <w:rPr>
          <w:rFonts w:hint="eastAsia" w:ascii="楷体_GB2312" w:eastAsia="楷体_GB2312"/>
          <w:sz w:val="28"/>
          <w:szCs w:val="28"/>
        </w:rPr>
        <w:t>=2取值，剧毒气体可按</w:t>
      </w:r>
      <w:r>
        <w:rPr>
          <w:rFonts w:ascii="楷体_GB2312" w:eastAsia="楷体_GB2312"/>
          <w:i/>
          <w:sz w:val="28"/>
          <w:szCs w:val="28"/>
        </w:rPr>
        <w:t>β</w:t>
      </w:r>
      <w:r>
        <w:rPr>
          <w:rFonts w:hint="eastAsia" w:ascii="楷体_GB2312" w:eastAsia="楷体_GB2312"/>
          <w:sz w:val="28"/>
          <w:szCs w:val="28"/>
        </w:rPr>
        <w:t>=4取值。</w:t>
      </w:r>
    </w:p>
    <w:p>
      <w:pPr>
        <w:ind w:firstLine="640" w:firstLineChars="200"/>
        <w:rPr>
          <w:rFonts w:ascii="黑体" w:eastAsia="黑体"/>
          <w:sz w:val="32"/>
          <w:szCs w:val="32"/>
        </w:rPr>
      </w:pPr>
      <w:r>
        <w:rPr>
          <w:rFonts w:hint="eastAsia" w:ascii="黑体" w:eastAsia="黑体"/>
          <w:sz w:val="32"/>
          <w:szCs w:val="32"/>
        </w:rPr>
        <w:t>四</w:t>
      </w:r>
      <w:r>
        <w:rPr>
          <w:rFonts w:ascii="黑体" w:eastAsia="黑体"/>
          <w:sz w:val="32"/>
          <w:szCs w:val="32"/>
        </w:rPr>
        <w:t>、校正系数α的取值</w:t>
      </w:r>
    </w:p>
    <w:p>
      <w:pPr>
        <w:ind w:firstLine="640" w:firstLineChars="200"/>
        <w:rPr>
          <w:rFonts w:hint="eastAsia" w:ascii="仿宋_GB2312" w:eastAsia="仿宋_GB2312"/>
          <w:sz w:val="32"/>
          <w:szCs w:val="32"/>
        </w:rPr>
      </w:pPr>
      <w:r>
        <w:rPr>
          <w:rFonts w:hint="eastAsia" w:ascii="仿宋_GB2312" w:eastAsia="仿宋_GB2312"/>
          <w:sz w:val="32"/>
          <w:szCs w:val="32"/>
        </w:rPr>
        <w:t>根据重大危险源的厂区边界向外扩展500米范围内常住人口数量，设定厂外暴露人员校正系数</w:t>
      </w:r>
      <w:r>
        <w:rPr>
          <w:rFonts w:hint="eastAsia" w:ascii="仿宋_GB2312" w:eastAsia="仿宋_GB2312"/>
          <w:i/>
          <w:sz w:val="32"/>
          <w:szCs w:val="32"/>
        </w:rPr>
        <w:t>α</w:t>
      </w:r>
      <w:r>
        <w:rPr>
          <w:rFonts w:hint="eastAsia" w:ascii="仿宋_GB2312" w:eastAsia="仿宋_GB2312"/>
          <w:sz w:val="32"/>
          <w:szCs w:val="32"/>
        </w:rPr>
        <w:t>值，见表3：</w:t>
      </w:r>
    </w:p>
    <w:p>
      <w:pPr>
        <w:jc w:val="center"/>
        <w:rPr>
          <w:rFonts w:hint="eastAsia" w:ascii="仿宋_GB2312" w:eastAsia="仿宋_GB2312"/>
          <w:sz w:val="30"/>
          <w:szCs w:val="30"/>
        </w:rPr>
      </w:pPr>
      <w:r>
        <w:rPr>
          <w:rFonts w:ascii="仿宋_GB2312" w:eastAsia="仿宋_GB2312"/>
          <w:sz w:val="30"/>
          <w:szCs w:val="30"/>
        </w:rPr>
        <w:br w:type="page"/>
      </w:r>
      <w:r>
        <w:rPr>
          <w:rFonts w:hint="eastAsia" w:ascii="仿宋_GB2312" w:eastAsia="仿宋_GB2312"/>
          <w:sz w:val="30"/>
          <w:szCs w:val="30"/>
        </w:rPr>
        <w:t>表3 校正系数</w:t>
      </w:r>
      <w:r>
        <w:rPr>
          <w:rFonts w:eastAsia="仿宋_GB2312"/>
          <w:i/>
          <w:sz w:val="30"/>
          <w:szCs w:val="30"/>
        </w:rPr>
        <w:t>α</w:t>
      </w:r>
      <w:r>
        <w:rPr>
          <w:rFonts w:hint="eastAsia" w:ascii="仿宋_GB2312" w:eastAsia="仿宋_GB2312"/>
          <w:sz w:val="30"/>
          <w:szCs w:val="30"/>
        </w:rPr>
        <w:t>取值表</w:t>
      </w:r>
    </w:p>
    <w:tbl>
      <w:tblPr>
        <w:tblStyle w:val="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noWrap w:val="0"/>
            <w:vAlign w:val="center"/>
          </w:tcPr>
          <w:p>
            <w:pPr>
              <w:jc w:val="center"/>
              <w:rPr>
                <w:rFonts w:eastAsia="仿宋_GB2312"/>
                <w:sz w:val="30"/>
                <w:szCs w:val="30"/>
              </w:rPr>
            </w:pPr>
            <w:r>
              <w:rPr>
                <w:rFonts w:hint="eastAsia" w:eastAsia="仿宋_GB2312"/>
                <w:sz w:val="30"/>
                <w:szCs w:val="30"/>
              </w:rPr>
              <w:t>厂</w:t>
            </w:r>
            <w:r>
              <w:rPr>
                <w:rFonts w:eastAsia="仿宋_GB2312"/>
                <w:sz w:val="30"/>
                <w:szCs w:val="30"/>
              </w:rPr>
              <w:t>外可能</w:t>
            </w:r>
            <w:r>
              <w:rPr>
                <w:rFonts w:hint="eastAsia" w:eastAsia="仿宋_GB2312"/>
                <w:sz w:val="30"/>
                <w:szCs w:val="30"/>
              </w:rPr>
              <w:t>暴露</w:t>
            </w:r>
            <w:r>
              <w:rPr>
                <w:rFonts w:eastAsia="仿宋_GB2312"/>
                <w:sz w:val="30"/>
                <w:szCs w:val="30"/>
              </w:rPr>
              <w:t>人员数量</w:t>
            </w:r>
          </w:p>
        </w:tc>
        <w:tc>
          <w:tcPr>
            <w:tcW w:w="4379" w:type="dxa"/>
            <w:noWrap w:val="0"/>
            <w:vAlign w:val="center"/>
          </w:tcPr>
          <w:p>
            <w:pPr>
              <w:jc w:val="center"/>
              <w:rPr>
                <w:rFonts w:eastAsia="仿宋_GB2312"/>
                <w:sz w:val="30"/>
                <w:szCs w:val="30"/>
              </w:rPr>
            </w:pPr>
            <w:r>
              <w:rPr>
                <w:rFonts w:eastAsia="仿宋_GB2312"/>
                <w:i/>
                <w:sz w:val="30"/>
                <w:szCs w:val="30"/>
              </w:rPr>
              <w:t>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noWrap w:val="0"/>
            <w:vAlign w:val="center"/>
          </w:tcPr>
          <w:p>
            <w:pPr>
              <w:jc w:val="center"/>
              <w:rPr>
                <w:rFonts w:eastAsia="仿宋_GB2312"/>
                <w:sz w:val="30"/>
                <w:szCs w:val="30"/>
              </w:rPr>
            </w:pPr>
            <w:r>
              <w:rPr>
                <w:rFonts w:eastAsia="仿宋_GB2312"/>
                <w:sz w:val="30"/>
                <w:szCs w:val="30"/>
              </w:rPr>
              <w:t>100人以上</w:t>
            </w:r>
          </w:p>
        </w:tc>
        <w:tc>
          <w:tcPr>
            <w:tcW w:w="4379" w:type="dxa"/>
            <w:noWrap w:val="0"/>
            <w:vAlign w:val="center"/>
          </w:tcPr>
          <w:p>
            <w:pPr>
              <w:jc w:val="center"/>
              <w:rPr>
                <w:rFonts w:hint="eastAsia" w:eastAsia="仿宋_GB2312"/>
                <w:sz w:val="30"/>
                <w:szCs w:val="30"/>
              </w:rPr>
            </w:pPr>
            <w:r>
              <w:rPr>
                <w:rFonts w:eastAsia="仿宋_GB2312"/>
                <w:sz w:val="30"/>
                <w:szCs w:val="30"/>
              </w:rPr>
              <w:t>2.</w:t>
            </w:r>
            <w:r>
              <w:rPr>
                <w:rFonts w:hint="eastAsia" w:eastAsia="仿宋_GB2312"/>
                <w:sz w:val="30"/>
                <w:szCs w:val="30"/>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noWrap w:val="0"/>
            <w:vAlign w:val="center"/>
          </w:tcPr>
          <w:p>
            <w:pPr>
              <w:jc w:val="center"/>
              <w:rPr>
                <w:rFonts w:eastAsia="仿宋_GB2312"/>
                <w:sz w:val="30"/>
                <w:szCs w:val="30"/>
              </w:rPr>
            </w:pPr>
            <w:r>
              <w:rPr>
                <w:rFonts w:hint="eastAsia" w:eastAsia="仿宋_GB2312"/>
                <w:sz w:val="30"/>
                <w:szCs w:val="30"/>
              </w:rPr>
              <w:t>50</w:t>
            </w:r>
            <w:r>
              <w:rPr>
                <w:rFonts w:eastAsia="仿宋_GB2312"/>
                <w:sz w:val="30"/>
                <w:szCs w:val="30"/>
              </w:rPr>
              <w:t>人～</w:t>
            </w:r>
            <w:r>
              <w:rPr>
                <w:rFonts w:hint="eastAsia" w:eastAsia="仿宋_GB2312"/>
                <w:sz w:val="30"/>
                <w:szCs w:val="30"/>
              </w:rPr>
              <w:t>99</w:t>
            </w:r>
            <w:r>
              <w:rPr>
                <w:rFonts w:eastAsia="仿宋_GB2312"/>
                <w:sz w:val="30"/>
                <w:szCs w:val="30"/>
              </w:rPr>
              <w:t>人</w:t>
            </w:r>
          </w:p>
        </w:tc>
        <w:tc>
          <w:tcPr>
            <w:tcW w:w="4379" w:type="dxa"/>
            <w:noWrap w:val="0"/>
            <w:vAlign w:val="center"/>
          </w:tcPr>
          <w:p>
            <w:pPr>
              <w:jc w:val="center"/>
              <w:rPr>
                <w:rFonts w:hint="eastAsia" w:eastAsia="仿宋_GB2312"/>
                <w:sz w:val="30"/>
                <w:szCs w:val="30"/>
              </w:rPr>
            </w:pPr>
            <w:r>
              <w:rPr>
                <w:rFonts w:hint="eastAsia" w:eastAsia="仿宋_GB2312"/>
                <w:sz w:val="30"/>
                <w:szCs w:val="30"/>
              </w:rPr>
              <w:t>1</w:t>
            </w:r>
            <w:r>
              <w:rPr>
                <w:rFonts w:eastAsia="仿宋_GB2312"/>
                <w:sz w:val="30"/>
                <w:szCs w:val="30"/>
              </w:rPr>
              <w:t>.</w:t>
            </w:r>
            <w:r>
              <w:rPr>
                <w:rFonts w:hint="eastAsia" w:eastAsia="仿宋_GB2312"/>
                <w:sz w:val="30"/>
                <w:szCs w:val="30"/>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noWrap w:val="0"/>
            <w:vAlign w:val="center"/>
          </w:tcPr>
          <w:p>
            <w:pPr>
              <w:jc w:val="center"/>
              <w:rPr>
                <w:rFonts w:eastAsia="仿宋_GB2312"/>
                <w:sz w:val="30"/>
                <w:szCs w:val="30"/>
              </w:rPr>
            </w:pPr>
            <w:r>
              <w:rPr>
                <w:rFonts w:eastAsia="仿宋_GB2312"/>
                <w:sz w:val="30"/>
                <w:szCs w:val="30"/>
              </w:rPr>
              <w:t>30人～</w:t>
            </w:r>
            <w:r>
              <w:rPr>
                <w:rFonts w:hint="eastAsia" w:eastAsia="仿宋_GB2312"/>
                <w:sz w:val="30"/>
                <w:szCs w:val="30"/>
              </w:rPr>
              <w:t>49</w:t>
            </w:r>
            <w:r>
              <w:rPr>
                <w:rFonts w:eastAsia="仿宋_GB2312"/>
                <w:sz w:val="30"/>
                <w:szCs w:val="30"/>
              </w:rPr>
              <w:t>人</w:t>
            </w:r>
          </w:p>
        </w:tc>
        <w:tc>
          <w:tcPr>
            <w:tcW w:w="4379" w:type="dxa"/>
            <w:noWrap w:val="0"/>
            <w:vAlign w:val="center"/>
          </w:tcPr>
          <w:p>
            <w:pPr>
              <w:jc w:val="center"/>
              <w:rPr>
                <w:rFonts w:hint="eastAsia" w:eastAsia="仿宋_GB2312"/>
                <w:sz w:val="30"/>
                <w:szCs w:val="30"/>
              </w:rPr>
            </w:pPr>
            <w:r>
              <w:rPr>
                <w:rFonts w:eastAsia="仿宋_GB2312"/>
                <w:sz w:val="30"/>
                <w:szCs w:val="30"/>
              </w:rPr>
              <w:t>1.</w:t>
            </w:r>
            <w:r>
              <w:rPr>
                <w:rFonts w:hint="eastAsia" w:eastAsia="仿宋_GB2312"/>
                <w:sz w:val="30"/>
                <w:szCs w:val="30"/>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noWrap w:val="0"/>
            <w:vAlign w:val="center"/>
          </w:tcPr>
          <w:p>
            <w:pPr>
              <w:jc w:val="center"/>
              <w:rPr>
                <w:rFonts w:eastAsia="仿宋_GB2312"/>
                <w:sz w:val="30"/>
                <w:szCs w:val="30"/>
              </w:rPr>
            </w:pPr>
            <w:r>
              <w:rPr>
                <w:rFonts w:hint="eastAsia" w:eastAsia="仿宋_GB2312"/>
                <w:sz w:val="30"/>
                <w:szCs w:val="30"/>
              </w:rPr>
              <w:t>1</w:t>
            </w:r>
            <w:r>
              <w:rPr>
                <w:rFonts w:eastAsia="仿宋_GB2312"/>
                <w:sz w:val="30"/>
                <w:szCs w:val="30"/>
              </w:rPr>
              <w:t>～29人</w:t>
            </w:r>
          </w:p>
        </w:tc>
        <w:tc>
          <w:tcPr>
            <w:tcW w:w="4379" w:type="dxa"/>
            <w:noWrap w:val="0"/>
            <w:vAlign w:val="center"/>
          </w:tcPr>
          <w:p>
            <w:pPr>
              <w:jc w:val="center"/>
              <w:rPr>
                <w:rFonts w:hint="eastAsia" w:eastAsia="仿宋_GB2312"/>
                <w:sz w:val="30"/>
                <w:szCs w:val="30"/>
              </w:rPr>
            </w:pPr>
            <w:r>
              <w:rPr>
                <w:rFonts w:hint="eastAsia" w:eastAsia="仿宋_GB2312"/>
                <w:sz w:val="30"/>
                <w:szCs w:val="30"/>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378" w:type="dxa"/>
            <w:noWrap w:val="0"/>
            <w:vAlign w:val="center"/>
          </w:tcPr>
          <w:p>
            <w:pPr>
              <w:jc w:val="center"/>
              <w:rPr>
                <w:rFonts w:hint="eastAsia" w:eastAsia="仿宋_GB2312"/>
                <w:sz w:val="30"/>
                <w:szCs w:val="30"/>
              </w:rPr>
            </w:pPr>
            <w:r>
              <w:rPr>
                <w:rFonts w:hint="eastAsia" w:eastAsia="仿宋_GB2312"/>
                <w:sz w:val="30"/>
                <w:szCs w:val="30"/>
              </w:rPr>
              <w:t>0人</w:t>
            </w:r>
          </w:p>
        </w:tc>
        <w:tc>
          <w:tcPr>
            <w:tcW w:w="4379" w:type="dxa"/>
            <w:noWrap w:val="0"/>
            <w:vAlign w:val="center"/>
          </w:tcPr>
          <w:p>
            <w:pPr>
              <w:jc w:val="center"/>
              <w:rPr>
                <w:rFonts w:hint="eastAsia" w:eastAsia="仿宋_GB2312"/>
                <w:sz w:val="30"/>
                <w:szCs w:val="30"/>
              </w:rPr>
            </w:pPr>
            <w:r>
              <w:rPr>
                <w:rFonts w:hint="eastAsia" w:eastAsia="仿宋_GB2312"/>
                <w:sz w:val="30"/>
                <w:szCs w:val="30"/>
              </w:rPr>
              <w:t>0.5</w:t>
            </w:r>
          </w:p>
        </w:tc>
      </w:tr>
    </w:tbl>
    <w:p>
      <w:pPr>
        <w:ind w:firstLine="640" w:firstLineChars="200"/>
        <w:rPr>
          <w:rFonts w:hint="eastAsia" w:ascii="黑体" w:eastAsia="黑体"/>
          <w:sz w:val="32"/>
          <w:szCs w:val="32"/>
        </w:rPr>
      </w:pPr>
      <w:r>
        <w:rPr>
          <w:rFonts w:hint="eastAsia" w:ascii="黑体" w:eastAsia="黑体"/>
          <w:sz w:val="32"/>
          <w:szCs w:val="32"/>
        </w:rPr>
        <w:t>五、分级标准</w:t>
      </w:r>
    </w:p>
    <w:p>
      <w:pPr>
        <w:ind w:firstLine="640" w:firstLineChars="200"/>
        <w:rPr>
          <w:rFonts w:hint="eastAsia" w:ascii="仿宋_GB2312" w:eastAsia="仿宋_GB2312"/>
          <w:sz w:val="32"/>
          <w:szCs w:val="32"/>
        </w:rPr>
      </w:pPr>
      <w:r>
        <w:rPr>
          <w:rFonts w:hint="eastAsia" w:ascii="仿宋_GB2312" w:eastAsia="仿宋_GB2312"/>
          <w:sz w:val="32"/>
          <w:szCs w:val="32"/>
        </w:rPr>
        <w:t>根据计算出来的</w:t>
      </w:r>
      <w:r>
        <w:rPr>
          <w:rFonts w:eastAsia="仿宋_GB2312"/>
          <w:i/>
          <w:sz w:val="32"/>
          <w:szCs w:val="32"/>
        </w:rPr>
        <w:t>R</w:t>
      </w:r>
      <w:r>
        <w:rPr>
          <w:rFonts w:hint="eastAsia" w:ascii="仿宋_GB2312" w:eastAsia="仿宋_GB2312"/>
          <w:sz w:val="32"/>
          <w:szCs w:val="32"/>
        </w:rPr>
        <w:t>值，按表4确定危险化学品重大危险源的级别。</w:t>
      </w:r>
    </w:p>
    <w:p>
      <w:pPr>
        <w:jc w:val="center"/>
        <w:rPr>
          <w:rFonts w:hint="eastAsia" w:ascii="仿宋_GB2312" w:eastAsia="仿宋_GB2312"/>
          <w:sz w:val="30"/>
          <w:szCs w:val="30"/>
        </w:rPr>
      </w:pPr>
      <w:r>
        <w:rPr>
          <w:rFonts w:hint="eastAsia" w:ascii="仿宋_GB2312" w:eastAsia="仿宋_GB2312"/>
          <w:sz w:val="30"/>
          <w:szCs w:val="30"/>
        </w:rPr>
        <w:t>表4 危险化学品重大危险源级别和</w:t>
      </w:r>
      <w:r>
        <w:rPr>
          <w:rFonts w:eastAsia="仿宋_GB2312"/>
          <w:i/>
          <w:sz w:val="30"/>
          <w:szCs w:val="30"/>
        </w:rPr>
        <w:t>R</w:t>
      </w:r>
      <w:r>
        <w:rPr>
          <w:rFonts w:hint="eastAsia" w:ascii="仿宋_GB2312" w:eastAsia="仿宋_GB2312"/>
          <w:sz w:val="30"/>
          <w:szCs w:val="30"/>
        </w:rPr>
        <w:t>值的对应关系</w:t>
      </w:r>
    </w:p>
    <w:tbl>
      <w:tblPr>
        <w:tblStyle w:val="3"/>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41"/>
        <w:gridCol w:w="4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noWrap w:val="0"/>
            <w:vAlign w:val="center"/>
          </w:tcPr>
          <w:p>
            <w:pPr>
              <w:jc w:val="center"/>
              <w:rPr>
                <w:rFonts w:eastAsia="仿宋_GB2312"/>
                <w:sz w:val="30"/>
                <w:szCs w:val="30"/>
              </w:rPr>
            </w:pPr>
            <w:r>
              <w:rPr>
                <w:rFonts w:eastAsia="仿宋_GB2312"/>
                <w:sz w:val="30"/>
                <w:szCs w:val="30"/>
              </w:rPr>
              <w:t>危险化学品重大危险源级别</w:t>
            </w:r>
          </w:p>
        </w:tc>
        <w:tc>
          <w:tcPr>
            <w:tcW w:w="4270" w:type="dxa"/>
            <w:noWrap w:val="0"/>
            <w:vAlign w:val="center"/>
          </w:tcPr>
          <w:p>
            <w:pPr>
              <w:jc w:val="center"/>
              <w:rPr>
                <w:rFonts w:eastAsia="仿宋_GB2312"/>
                <w:sz w:val="30"/>
                <w:szCs w:val="30"/>
              </w:rPr>
            </w:pPr>
            <w:r>
              <w:rPr>
                <w:rFonts w:eastAsia="仿宋_GB2312"/>
                <w:i/>
                <w:sz w:val="30"/>
                <w:szCs w:val="30"/>
              </w:rPr>
              <w:t>R</w:t>
            </w:r>
            <w:r>
              <w:rPr>
                <w:rFonts w:eastAsia="仿宋_GB2312"/>
                <w:sz w:val="30"/>
                <w:szCs w:val="30"/>
              </w:rPr>
              <w:t>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noWrap w:val="0"/>
            <w:vAlign w:val="center"/>
          </w:tcPr>
          <w:p>
            <w:pPr>
              <w:jc w:val="center"/>
              <w:rPr>
                <w:rFonts w:eastAsia="仿宋_GB2312"/>
                <w:sz w:val="30"/>
                <w:szCs w:val="30"/>
              </w:rPr>
            </w:pPr>
            <w:r>
              <w:rPr>
                <w:rFonts w:eastAsia="仿宋_GB2312"/>
                <w:sz w:val="30"/>
                <w:szCs w:val="30"/>
              </w:rPr>
              <w:t>一级</w:t>
            </w:r>
          </w:p>
        </w:tc>
        <w:tc>
          <w:tcPr>
            <w:tcW w:w="4270" w:type="dxa"/>
            <w:noWrap w:val="0"/>
            <w:vAlign w:val="center"/>
          </w:tcPr>
          <w:p>
            <w:pPr>
              <w:jc w:val="center"/>
              <w:rPr>
                <w:rFonts w:eastAsia="仿宋_GB2312"/>
                <w:i/>
                <w:sz w:val="30"/>
                <w:szCs w:val="30"/>
              </w:rPr>
            </w:pPr>
            <w:r>
              <w:rPr>
                <w:rFonts w:eastAsia="仿宋_GB2312"/>
                <w:i/>
                <w:sz w:val="30"/>
                <w:szCs w:val="30"/>
              </w:rPr>
              <w:t>R≥</w:t>
            </w:r>
            <w:r>
              <w:rPr>
                <w:rFonts w:eastAsia="仿宋_GB2312"/>
                <w:sz w:val="30"/>
                <w:szCs w:val="30"/>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noWrap w:val="0"/>
            <w:vAlign w:val="center"/>
          </w:tcPr>
          <w:p>
            <w:pPr>
              <w:jc w:val="center"/>
              <w:rPr>
                <w:rFonts w:eastAsia="仿宋_GB2312"/>
                <w:sz w:val="30"/>
                <w:szCs w:val="30"/>
              </w:rPr>
            </w:pPr>
            <w:r>
              <w:rPr>
                <w:rFonts w:eastAsia="仿宋_GB2312"/>
                <w:sz w:val="30"/>
                <w:szCs w:val="30"/>
              </w:rPr>
              <w:t>二级</w:t>
            </w:r>
          </w:p>
        </w:tc>
        <w:tc>
          <w:tcPr>
            <w:tcW w:w="4270" w:type="dxa"/>
            <w:noWrap w:val="0"/>
            <w:vAlign w:val="center"/>
          </w:tcPr>
          <w:p>
            <w:pPr>
              <w:jc w:val="center"/>
              <w:rPr>
                <w:rFonts w:eastAsia="仿宋_GB2312"/>
                <w:sz w:val="30"/>
                <w:szCs w:val="30"/>
              </w:rPr>
            </w:pPr>
            <w:r>
              <w:rPr>
                <w:rFonts w:eastAsia="仿宋_GB2312"/>
                <w:sz w:val="30"/>
                <w:szCs w:val="30"/>
              </w:rPr>
              <w:t>100</w:t>
            </w:r>
            <w:r>
              <w:rPr>
                <w:rFonts w:eastAsia="仿宋_GB2312"/>
                <w:i/>
                <w:sz w:val="30"/>
                <w:szCs w:val="30"/>
              </w:rPr>
              <w:t>&gt;R≥</w:t>
            </w:r>
            <w:r>
              <w:rPr>
                <w:rFonts w:eastAsia="仿宋_GB2312"/>
                <w:sz w:val="30"/>
                <w:szCs w:val="30"/>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noWrap w:val="0"/>
            <w:vAlign w:val="center"/>
          </w:tcPr>
          <w:p>
            <w:pPr>
              <w:jc w:val="center"/>
              <w:rPr>
                <w:rFonts w:eastAsia="仿宋_GB2312"/>
                <w:sz w:val="30"/>
                <w:szCs w:val="30"/>
              </w:rPr>
            </w:pPr>
            <w:r>
              <w:rPr>
                <w:rFonts w:eastAsia="仿宋_GB2312"/>
                <w:sz w:val="30"/>
                <w:szCs w:val="30"/>
              </w:rPr>
              <w:t>三级</w:t>
            </w:r>
          </w:p>
        </w:tc>
        <w:tc>
          <w:tcPr>
            <w:tcW w:w="4270" w:type="dxa"/>
            <w:noWrap w:val="0"/>
            <w:vAlign w:val="center"/>
          </w:tcPr>
          <w:p>
            <w:pPr>
              <w:jc w:val="center"/>
              <w:rPr>
                <w:rFonts w:eastAsia="仿宋_GB2312"/>
                <w:sz w:val="30"/>
                <w:szCs w:val="30"/>
              </w:rPr>
            </w:pPr>
            <w:r>
              <w:rPr>
                <w:rFonts w:eastAsia="仿宋_GB2312"/>
                <w:sz w:val="30"/>
                <w:szCs w:val="30"/>
              </w:rPr>
              <w:t>50</w:t>
            </w:r>
            <w:r>
              <w:rPr>
                <w:rFonts w:eastAsia="仿宋_GB2312"/>
                <w:i/>
                <w:sz w:val="30"/>
                <w:szCs w:val="30"/>
              </w:rPr>
              <w:t>&gt;R≥</w:t>
            </w:r>
            <w:r>
              <w:rPr>
                <w:rFonts w:eastAsia="仿宋_GB2312"/>
                <w:sz w:val="30"/>
                <w:szCs w:val="30"/>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466" w:type="dxa"/>
            <w:noWrap w:val="0"/>
            <w:vAlign w:val="center"/>
          </w:tcPr>
          <w:p>
            <w:pPr>
              <w:jc w:val="center"/>
              <w:rPr>
                <w:rFonts w:eastAsia="仿宋_GB2312"/>
                <w:sz w:val="30"/>
                <w:szCs w:val="30"/>
              </w:rPr>
            </w:pPr>
            <w:r>
              <w:rPr>
                <w:rFonts w:eastAsia="仿宋_GB2312"/>
                <w:sz w:val="30"/>
                <w:szCs w:val="30"/>
              </w:rPr>
              <w:t>四级</w:t>
            </w:r>
          </w:p>
        </w:tc>
        <w:tc>
          <w:tcPr>
            <w:tcW w:w="4270" w:type="dxa"/>
            <w:noWrap w:val="0"/>
            <w:vAlign w:val="center"/>
          </w:tcPr>
          <w:p>
            <w:pPr>
              <w:jc w:val="center"/>
              <w:rPr>
                <w:rFonts w:eastAsia="仿宋_GB2312"/>
                <w:sz w:val="30"/>
                <w:szCs w:val="30"/>
              </w:rPr>
            </w:pPr>
            <w:r>
              <w:rPr>
                <w:rFonts w:eastAsia="仿宋_GB2312"/>
                <w:i/>
                <w:sz w:val="30"/>
                <w:szCs w:val="30"/>
              </w:rPr>
              <w:t>R&lt;</w:t>
            </w:r>
            <w:r>
              <w:rPr>
                <w:rFonts w:eastAsia="仿宋_GB2312"/>
                <w:sz w:val="30"/>
                <w:szCs w:val="30"/>
              </w:rPr>
              <w:t>10</w:t>
            </w:r>
          </w:p>
        </w:tc>
      </w:tr>
    </w:tbl>
    <w:p>
      <w:pPr>
        <w:ind w:firstLine="420" w:firstLineChars="200"/>
        <w:rPr>
          <w:rFonts w:hint="eastAsia"/>
        </w:rPr>
      </w:pPr>
    </w:p>
    <w:p>
      <w:pPr>
        <w:ind w:firstLine="420" w:firstLineChars="200"/>
        <w:rPr>
          <w:rFonts w:hint="eastAsia"/>
        </w:rPr>
      </w:pPr>
    </w:p>
    <w:p>
      <w:pPr>
        <w:ind w:firstLine="420" w:firstLineChars="200"/>
        <w:rPr>
          <w:rFonts w:hint="eastAsia"/>
        </w:rPr>
      </w:pPr>
    </w:p>
    <w:p>
      <w:pPr>
        <w:rPr>
          <w:rFonts w:hint="eastAsia" w:ascii="仿宋_GB2312" w:eastAsia="仿宋_GB2312"/>
          <w:sz w:val="32"/>
          <w:szCs w:val="32"/>
        </w:rPr>
      </w:pPr>
      <w:r>
        <w:br w:type="page"/>
      </w:r>
      <w:r>
        <w:rPr>
          <w:rFonts w:hint="eastAsia" w:ascii="仿宋_GB2312" w:eastAsia="仿宋_GB2312"/>
          <w:sz w:val="32"/>
          <w:szCs w:val="32"/>
        </w:rPr>
        <w:t>附件2</w:t>
      </w:r>
    </w:p>
    <w:p>
      <w:pPr>
        <w:jc w:val="center"/>
        <w:rPr>
          <w:rFonts w:hint="eastAsia" w:ascii="华文中宋" w:hAnsi="华文中宋" w:eastAsia="华文中宋"/>
          <w:b/>
          <w:sz w:val="44"/>
          <w:szCs w:val="44"/>
        </w:rPr>
      </w:pPr>
      <w:r>
        <w:rPr>
          <w:rFonts w:hint="eastAsia" w:ascii="华文中宋" w:hAnsi="华文中宋" w:eastAsia="华文中宋"/>
          <w:b/>
          <w:sz w:val="44"/>
          <w:szCs w:val="44"/>
        </w:rPr>
        <w:t>可容许风险标准</w:t>
      </w:r>
    </w:p>
    <w:p>
      <w:pPr>
        <w:jc w:val="center"/>
        <w:rPr>
          <w:rFonts w:hint="eastAsia" w:ascii="华文中宋" w:hAnsi="华文中宋" w:eastAsia="华文中宋"/>
          <w:b/>
          <w:sz w:val="44"/>
          <w:szCs w:val="44"/>
        </w:rPr>
      </w:pPr>
    </w:p>
    <w:p>
      <w:pPr>
        <w:ind w:firstLine="640" w:firstLineChars="200"/>
        <w:rPr>
          <w:rFonts w:hint="eastAsia" w:ascii="黑体" w:eastAsia="黑体"/>
          <w:sz w:val="32"/>
          <w:szCs w:val="32"/>
        </w:rPr>
      </w:pPr>
      <w:r>
        <w:rPr>
          <w:rFonts w:hint="eastAsia" w:ascii="黑体" w:eastAsia="黑体"/>
          <w:sz w:val="32"/>
          <w:szCs w:val="32"/>
        </w:rPr>
        <w:t>一、可容许个人风险标准</w:t>
      </w:r>
    </w:p>
    <w:p>
      <w:pPr>
        <w:ind w:firstLine="640" w:firstLineChars="200"/>
        <w:rPr>
          <w:rFonts w:hint="eastAsia" w:ascii="仿宋_GB2312" w:hAnsi="TimesNewRomanPSMT" w:eastAsia="仿宋_GB2312" w:cs="宋体"/>
          <w:kern w:val="0"/>
          <w:sz w:val="32"/>
          <w:szCs w:val="32"/>
        </w:rPr>
      </w:pPr>
      <w:r>
        <w:rPr>
          <w:rFonts w:hint="eastAsia" w:ascii="仿宋_GB2312" w:hAnsi="TimesNewRomanPSMT" w:eastAsia="仿宋_GB2312" w:cs="宋体"/>
          <w:kern w:val="0"/>
          <w:sz w:val="32"/>
          <w:szCs w:val="32"/>
        </w:rPr>
        <w:t>个人风险是指因危险化学品重大危险源各种潜在的火灾、爆炸、有毒气体泄漏事故造成区域内某一固定位置人员的个体死亡概率，即单位时间内（通常为年）的个体死亡率。通常用个人风险等值线表示。</w:t>
      </w:r>
    </w:p>
    <w:p>
      <w:pPr>
        <w:ind w:firstLine="640" w:firstLineChars="200"/>
        <w:rPr>
          <w:rFonts w:hint="eastAsia" w:ascii="仿宋_GB2312" w:hAnsi="TimesNewRomanPSMT" w:eastAsia="仿宋_GB2312" w:cs="宋体"/>
          <w:kern w:val="0"/>
          <w:sz w:val="32"/>
          <w:szCs w:val="32"/>
        </w:rPr>
      </w:pPr>
      <w:r>
        <w:rPr>
          <w:rFonts w:hint="eastAsia" w:ascii="仿宋_GB2312" w:hAnsi="TimesNewRomanPSMT" w:eastAsia="仿宋_GB2312" w:cs="宋体"/>
          <w:kern w:val="0"/>
          <w:sz w:val="32"/>
          <w:szCs w:val="32"/>
        </w:rPr>
        <w:t>通过定量风险评价，危险化学品单位周边重要目标和敏感场所承受的个人风险应满足表1中可容许风险标准要求。</w:t>
      </w:r>
    </w:p>
    <w:p>
      <w:pPr>
        <w:pStyle w:val="2"/>
        <w:jc w:val="center"/>
        <w:rPr>
          <w:rFonts w:hint="eastAsia" w:ascii="仿宋_GB2312" w:hAnsi="宋体" w:eastAsia="仿宋_GB2312"/>
          <w:sz w:val="30"/>
          <w:szCs w:val="30"/>
        </w:rPr>
      </w:pPr>
      <w:r>
        <w:rPr>
          <w:rFonts w:ascii="仿宋_GB2312" w:hAnsi="宋体" w:eastAsia="仿宋_GB2312"/>
          <w:sz w:val="30"/>
          <w:szCs w:val="30"/>
        </w:rPr>
        <w:t>表</w:t>
      </w:r>
      <w:r>
        <w:rPr>
          <w:rFonts w:hint="eastAsia" w:ascii="仿宋_GB2312" w:hAnsi="宋体" w:eastAsia="仿宋_GB2312"/>
          <w:sz w:val="30"/>
          <w:szCs w:val="30"/>
        </w:rPr>
        <w:t>1 可容许个人风险标准</w:t>
      </w:r>
    </w:p>
    <w:tbl>
      <w:tblPr>
        <w:tblStyle w:val="3"/>
        <w:tblW w:w="487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51"/>
        <w:gridCol w:w="156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061" w:type="pct"/>
            <w:noWrap w:val="0"/>
            <w:vAlign w:val="center"/>
          </w:tcPr>
          <w:p>
            <w:pPr>
              <w:jc w:val="center"/>
              <w:rPr>
                <w:rFonts w:hint="eastAsia" w:ascii="仿宋_GB2312" w:eastAsia="仿宋_GB2312"/>
                <w:sz w:val="30"/>
                <w:szCs w:val="30"/>
              </w:rPr>
            </w:pPr>
            <w:r>
              <w:rPr>
                <w:rFonts w:hint="eastAsia" w:ascii="仿宋_GB2312" w:eastAsia="仿宋_GB2312"/>
                <w:sz w:val="30"/>
                <w:szCs w:val="30"/>
              </w:rPr>
              <w:t xml:space="preserve"> 危险化学品单位周边重要目标和敏感场所类别</w:t>
            </w:r>
          </w:p>
        </w:tc>
        <w:tc>
          <w:tcPr>
            <w:tcW w:w="939" w:type="pct"/>
            <w:noWrap w:val="0"/>
            <w:vAlign w:val="center"/>
          </w:tcPr>
          <w:p>
            <w:pPr>
              <w:snapToGrid w:val="0"/>
              <w:jc w:val="center"/>
              <w:rPr>
                <w:rFonts w:hint="eastAsia" w:ascii="仿宋_GB2312" w:eastAsia="仿宋_GB2312"/>
                <w:sz w:val="30"/>
                <w:szCs w:val="30"/>
              </w:rPr>
            </w:pPr>
            <w:r>
              <w:rPr>
                <w:rFonts w:hint="eastAsia" w:ascii="仿宋_GB2312" w:eastAsia="仿宋_GB2312"/>
                <w:sz w:val="30"/>
                <w:szCs w:val="30"/>
              </w:rPr>
              <w:t>可容许</w:t>
            </w:r>
          </w:p>
          <w:p>
            <w:pPr>
              <w:snapToGrid w:val="0"/>
              <w:jc w:val="center"/>
              <w:rPr>
                <w:rFonts w:hint="eastAsia" w:ascii="仿宋_GB2312" w:eastAsia="仿宋_GB2312"/>
                <w:sz w:val="30"/>
                <w:szCs w:val="30"/>
              </w:rPr>
            </w:pPr>
            <w:r>
              <w:rPr>
                <w:rFonts w:hint="eastAsia" w:ascii="仿宋_GB2312" w:eastAsia="仿宋_GB2312"/>
                <w:sz w:val="30"/>
                <w:szCs w:val="30"/>
              </w:rPr>
              <w:t>风险</w:t>
            </w:r>
          </w:p>
          <w:p>
            <w:pPr>
              <w:snapToGrid w:val="0"/>
              <w:jc w:val="center"/>
              <w:rPr>
                <w:rFonts w:hint="eastAsia" w:ascii="仿宋_GB2312" w:eastAsia="仿宋_GB2312"/>
                <w:sz w:val="30"/>
                <w:szCs w:val="30"/>
              </w:rPr>
            </w:pPr>
            <w:r>
              <w:rPr>
                <w:rFonts w:hint="eastAsia" w:ascii="仿宋_GB2312" w:eastAsia="仿宋_GB2312"/>
                <w:sz w:val="30"/>
                <w:szCs w:val="30"/>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4061" w:type="pct"/>
            <w:noWrap w:val="0"/>
            <w:vAlign w:val="center"/>
          </w:tcPr>
          <w:p>
            <w:pPr>
              <w:snapToGrid w:val="0"/>
              <w:rPr>
                <w:rFonts w:hint="eastAsia" w:ascii="仿宋_GB2312" w:hAnsi="宋体" w:eastAsia="仿宋_GB2312" w:cs="TimesNewRoman,Bold"/>
                <w:bCs/>
                <w:kern w:val="0"/>
                <w:sz w:val="30"/>
                <w:szCs w:val="30"/>
              </w:rPr>
            </w:pPr>
            <w:r>
              <w:rPr>
                <w:rFonts w:hint="eastAsia" w:ascii="仿宋_GB2312" w:hAnsi="宋体" w:eastAsia="仿宋_GB2312" w:cs="TimesNewRoman,Bold"/>
                <w:bCs/>
                <w:kern w:val="0"/>
                <w:sz w:val="30"/>
                <w:szCs w:val="30"/>
              </w:rPr>
              <w:t>1.高敏感场所（如学校、医院、幼儿园、养老院等）；</w:t>
            </w:r>
          </w:p>
          <w:p>
            <w:pPr>
              <w:snapToGrid w:val="0"/>
              <w:ind w:left="435" w:hanging="435" w:hangingChars="145"/>
              <w:rPr>
                <w:rFonts w:hint="eastAsia" w:ascii="仿宋_GB2312" w:hAnsi="宋体" w:eastAsia="仿宋_GB2312" w:cs="TimesNewRoman,Bold"/>
                <w:bCs/>
                <w:kern w:val="0"/>
                <w:sz w:val="30"/>
                <w:szCs w:val="30"/>
              </w:rPr>
            </w:pPr>
            <w:r>
              <w:rPr>
                <w:rFonts w:hint="eastAsia" w:ascii="仿宋_GB2312" w:hAnsi="宋体" w:eastAsia="仿宋_GB2312" w:cs="TimesNewRoman,Bold"/>
                <w:bCs/>
                <w:kern w:val="0"/>
                <w:sz w:val="30"/>
                <w:szCs w:val="30"/>
              </w:rPr>
              <w:t>2.重要目标（如</w:t>
            </w:r>
            <w:r>
              <w:rPr>
                <w:rFonts w:hint="eastAsia" w:ascii="仿宋_GB2312" w:eastAsia="仿宋_GB2312"/>
                <w:sz w:val="30"/>
                <w:szCs w:val="30"/>
              </w:rPr>
              <w:t>党政机关、军事管理区、文物保护单位等</w:t>
            </w:r>
            <w:r>
              <w:rPr>
                <w:rFonts w:hint="eastAsia" w:ascii="仿宋_GB2312" w:hAnsi="宋体" w:eastAsia="仿宋_GB2312" w:cs="TimesNewRoman,Bold"/>
                <w:bCs/>
                <w:kern w:val="0"/>
                <w:sz w:val="30"/>
                <w:szCs w:val="30"/>
              </w:rPr>
              <w:t>）；</w:t>
            </w:r>
          </w:p>
          <w:p>
            <w:pPr>
              <w:snapToGrid w:val="0"/>
              <w:ind w:left="435" w:hanging="435" w:hangingChars="145"/>
              <w:rPr>
                <w:rFonts w:hint="eastAsia" w:ascii="仿宋_GB2312" w:eastAsia="仿宋_GB2312"/>
                <w:sz w:val="30"/>
                <w:szCs w:val="30"/>
              </w:rPr>
            </w:pPr>
            <w:r>
              <w:rPr>
                <w:rFonts w:hint="eastAsia" w:ascii="仿宋_GB2312" w:hAnsi="宋体" w:eastAsia="仿宋_GB2312" w:cs="TimesNewRoman,Bold"/>
                <w:bCs/>
                <w:kern w:val="0"/>
                <w:sz w:val="30"/>
                <w:szCs w:val="30"/>
              </w:rPr>
              <w:t>3.特殊高密度场所（如大型体育场、大型交通枢纽等）。</w:t>
            </w:r>
          </w:p>
        </w:tc>
        <w:tc>
          <w:tcPr>
            <w:tcW w:w="939" w:type="pct"/>
            <w:noWrap w:val="0"/>
            <w:vAlign w:val="center"/>
          </w:tcPr>
          <w:p>
            <w:pPr>
              <w:jc w:val="center"/>
              <w:rPr>
                <w:rFonts w:hint="eastAsia" w:ascii="仿宋_GB2312" w:eastAsia="仿宋_GB2312"/>
                <w:sz w:val="30"/>
                <w:szCs w:val="30"/>
              </w:rPr>
            </w:pPr>
            <w:r>
              <w:rPr>
                <w:rFonts w:hint="eastAsia" w:ascii="仿宋_GB2312" w:eastAsia="仿宋_GB2312"/>
                <w:sz w:val="30"/>
                <w:szCs w:val="30"/>
              </w:rPr>
              <w:t>&lt;3</w:t>
            </w:r>
            <w:r>
              <w:rPr>
                <w:rFonts w:hint="eastAsia" w:ascii="仿宋_GB2312" w:eastAsia="仿宋_GB2312"/>
                <w:sz w:val="30"/>
                <w:szCs w:val="30"/>
              </w:rPr>
              <w:sym w:font="Symbol" w:char="F0B4"/>
            </w:r>
            <w:r>
              <w:rPr>
                <w:rFonts w:hint="eastAsia" w:ascii="仿宋_GB2312" w:eastAsia="仿宋_GB2312"/>
                <w:sz w:val="30"/>
                <w:szCs w:val="30"/>
              </w:rPr>
              <w:t>10</w:t>
            </w:r>
            <w:r>
              <w:rPr>
                <w:rFonts w:hint="eastAsia" w:ascii="仿宋_GB2312" w:eastAsia="仿宋_GB2312"/>
                <w:sz w:val="30"/>
                <w:szCs w:val="30"/>
                <w:vertAlign w:val="superscript"/>
              </w:rPr>
              <w:t>-7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061" w:type="pct"/>
            <w:noWrap w:val="0"/>
            <w:vAlign w:val="center"/>
          </w:tcPr>
          <w:p>
            <w:pPr>
              <w:snapToGrid w:val="0"/>
              <w:rPr>
                <w:rFonts w:hint="eastAsia" w:ascii="仿宋_GB2312" w:hAnsi="宋体" w:eastAsia="仿宋_GB2312" w:cs="TimesNewRoman,Bold"/>
                <w:bCs/>
                <w:kern w:val="0"/>
                <w:sz w:val="30"/>
                <w:szCs w:val="30"/>
              </w:rPr>
            </w:pPr>
            <w:r>
              <w:rPr>
                <w:rFonts w:hint="eastAsia" w:ascii="仿宋_GB2312" w:hAnsi="宋体" w:eastAsia="仿宋_GB2312" w:cs="TimesNewRoman,Bold"/>
                <w:bCs/>
                <w:kern w:val="0"/>
                <w:sz w:val="30"/>
                <w:szCs w:val="30"/>
              </w:rPr>
              <w:t>1.居住类高密度场所（如居民区、宾馆、度假村等）；</w:t>
            </w:r>
          </w:p>
          <w:p>
            <w:pPr>
              <w:snapToGrid w:val="0"/>
              <w:ind w:left="435" w:hanging="435" w:hangingChars="145"/>
              <w:rPr>
                <w:rFonts w:hint="eastAsia" w:ascii="仿宋_GB2312" w:eastAsia="仿宋_GB2312"/>
                <w:sz w:val="30"/>
                <w:szCs w:val="30"/>
              </w:rPr>
            </w:pPr>
            <w:r>
              <w:rPr>
                <w:rFonts w:hint="eastAsia" w:ascii="仿宋_GB2312" w:hAnsi="宋体" w:eastAsia="仿宋_GB2312" w:cs="TimesNewRoman,Bold"/>
                <w:bCs/>
                <w:kern w:val="0"/>
                <w:sz w:val="30"/>
                <w:szCs w:val="30"/>
              </w:rPr>
              <w:t>2.公众聚集类高密度场所（如办公场所、商场、饭店、娱乐场所等）。</w:t>
            </w:r>
          </w:p>
        </w:tc>
        <w:tc>
          <w:tcPr>
            <w:tcW w:w="939" w:type="pct"/>
            <w:noWrap w:val="0"/>
            <w:vAlign w:val="center"/>
          </w:tcPr>
          <w:p>
            <w:pPr>
              <w:jc w:val="center"/>
              <w:rPr>
                <w:rFonts w:hint="eastAsia" w:ascii="仿宋_GB2312" w:eastAsia="仿宋_GB2312"/>
                <w:sz w:val="30"/>
                <w:szCs w:val="30"/>
              </w:rPr>
            </w:pPr>
            <w:r>
              <w:rPr>
                <w:rFonts w:hint="eastAsia" w:ascii="仿宋_GB2312" w:eastAsia="仿宋_GB2312"/>
                <w:sz w:val="30"/>
                <w:szCs w:val="30"/>
              </w:rPr>
              <w:t>&lt;1</w:t>
            </w:r>
            <w:r>
              <w:rPr>
                <w:rFonts w:hint="eastAsia" w:ascii="仿宋_GB2312" w:eastAsia="仿宋_GB2312"/>
                <w:sz w:val="30"/>
                <w:szCs w:val="30"/>
              </w:rPr>
              <w:sym w:font="Symbol" w:char="F0B4"/>
            </w:r>
            <w:r>
              <w:rPr>
                <w:rFonts w:hint="eastAsia" w:ascii="仿宋_GB2312" w:eastAsia="仿宋_GB2312"/>
                <w:sz w:val="30"/>
                <w:szCs w:val="30"/>
              </w:rPr>
              <w:t>10</w:t>
            </w:r>
            <w:r>
              <w:rPr>
                <w:rFonts w:hint="eastAsia" w:ascii="仿宋_GB2312" w:eastAsia="仿宋_GB2312"/>
                <w:sz w:val="30"/>
                <w:szCs w:val="30"/>
                <w:vertAlign w:val="superscript"/>
              </w:rPr>
              <w:t>-6</w:t>
            </w:r>
          </w:p>
        </w:tc>
      </w:tr>
    </w:tbl>
    <w:p>
      <w:pPr>
        <w:ind w:firstLine="422" w:firstLineChars="200"/>
        <w:rPr>
          <w:rFonts w:hint="eastAsia" w:ascii="仿宋_GB2312" w:hAnsi="宋体" w:eastAsia="仿宋_GB2312"/>
          <w:b/>
          <w:kern w:val="0"/>
          <w:szCs w:val="28"/>
        </w:rPr>
      </w:pPr>
    </w:p>
    <w:p>
      <w:pPr>
        <w:ind w:firstLine="640" w:firstLineChars="200"/>
        <w:rPr>
          <w:rFonts w:hint="eastAsia" w:ascii="黑体" w:eastAsia="黑体"/>
          <w:sz w:val="32"/>
          <w:szCs w:val="32"/>
        </w:rPr>
      </w:pPr>
      <w:r>
        <w:rPr>
          <w:rFonts w:ascii="黑体" w:eastAsia="黑体"/>
          <w:sz w:val="32"/>
          <w:szCs w:val="32"/>
        </w:rPr>
        <w:br w:type="page"/>
      </w:r>
      <w:r>
        <w:rPr>
          <w:rFonts w:hint="eastAsia" w:ascii="黑体" w:eastAsia="黑体"/>
          <w:sz w:val="32"/>
          <w:szCs w:val="32"/>
        </w:rPr>
        <w:t>二、可容许社会风险标准</w:t>
      </w:r>
    </w:p>
    <w:p>
      <w:pPr>
        <w:ind w:firstLine="640" w:firstLineChars="200"/>
        <w:rPr>
          <w:rFonts w:hint="eastAsia" w:ascii="仿宋_GB2312" w:hAnsi="TimesNewRomanPSMT" w:eastAsia="仿宋_GB2312" w:cs="宋体"/>
          <w:kern w:val="0"/>
          <w:sz w:val="32"/>
          <w:szCs w:val="32"/>
        </w:rPr>
      </w:pPr>
      <w:r>
        <w:rPr>
          <w:rFonts w:hint="eastAsia" w:ascii="仿宋_GB2312" w:hAnsi="TimesNewRomanPSMT" w:eastAsia="仿宋_GB2312" w:cs="宋体"/>
          <w:kern w:val="0"/>
          <w:sz w:val="32"/>
          <w:szCs w:val="32"/>
        </w:rPr>
        <w:t>社会风险是指能够引起大于等于N人死亡的事故累积频率（F），也即单位时间内（通常为年）的死亡人数。通常用社会风险曲线（F-N曲线）表示。</w:t>
      </w:r>
    </w:p>
    <w:p>
      <w:pPr>
        <w:ind w:firstLine="640" w:firstLineChars="200"/>
        <w:rPr>
          <w:rFonts w:hint="eastAsia" w:ascii="仿宋_GB2312" w:eastAsia="仿宋_GB2312"/>
          <w:sz w:val="32"/>
          <w:szCs w:val="32"/>
        </w:rPr>
      </w:pPr>
      <w:r>
        <w:rPr>
          <w:rFonts w:hint="eastAsia" w:ascii="仿宋_GB2312" w:eastAsia="仿宋_GB2312"/>
          <w:sz w:val="32"/>
          <w:szCs w:val="32"/>
        </w:rPr>
        <w:t>可容许社会风险标准采用ALARP（As Low As Reasonable Practice）原则作为可接受原则。ALARP原则通过两个风险分界线将风险划分为3个区域，即：不可容许区、尽可能降低区（ALARP）和可容许区。</w:t>
      </w:r>
    </w:p>
    <w:p>
      <w:pPr>
        <w:ind w:firstLine="640" w:firstLineChars="200"/>
        <w:rPr>
          <w:rFonts w:hint="eastAsia" w:ascii="仿宋_GB2312" w:eastAsia="仿宋_GB2312"/>
          <w:iCs/>
          <w:color w:val="FF0000"/>
          <w:sz w:val="32"/>
          <w:szCs w:val="32"/>
        </w:rPr>
      </w:pPr>
      <w:r>
        <w:rPr>
          <w:rFonts w:hint="eastAsia" w:ascii="仿宋_GB2312" w:eastAsia="仿宋_GB2312"/>
          <w:iCs/>
          <w:sz w:val="32"/>
          <w:szCs w:val="32"/>
        </w:rPr>
        <w:t>①若社会风险曲线落在不可容许区，除特殊情况外，该风险无论如何不能被接受。</w:t>
      </w:r>
    </w:p>
    <w:p>
      <w:pPr>
        <w:ind w:firstLine="640" w:firstLineChars="200"/>
        <w:rPr>
          <w:rFonts w:hint="eastAsia" w:ascii="仿宋_GB2312" w:eastAsia="仿宋_GB2312"/>
          <w:iCs/>
          <w:sz w:val="32"/>
          <w:szCs w:val="32"/>
        </w:rPr>
      </w:pPr>
      <w:r>
        <w:rPr>
          <w:rFonts w:hint="eastAsia" w:ascii="仿宋_GB2312" w:eastAsia="仿宋_GB2312"/>
          <w:iCs/>
          <w:sz w:val="32"/>
          <w:szCs w:val="32"/>
        </w:rPr>
        <w:t>②若落在可容许区，风险处于很低的水平，该风险是可以被接受的，无需采取安全改进措施。</w:t>
      </w:r>
    </w:p>
    <w:p>
      <w:pPr>
        <w:ind w:firstLine="640" w:firstLineChars="200"/>
        <w:rPr>
          <w:rFonts w:hint="eastAsia" w:ascii="仿宋_GB2312" w:eastAsia="仿宋_GB2312"/>
          <w:iCs/>
          <w:sz w:val="32"/>
          <w:szCs w:val="32"/>
        </w:rPr>
      </w:pPr>
      <w:r>
        <w:rPr>
          <w:rFonts w:hint="eastAsia" w:ascii="仿宋_GB2312" w:eastAsia="仿宋_GB2312"/>
          <w:iCs/>
          <w:sz w:val="32"/>
          <w:szCs w:val="32"/>
        </w:rPr>
        <w:t>③若落在尽可能降低区，则需要在可能的情况下尽量减少风险，即对各种风险处理措施方案进行成本效益分析等，以决定是否采取这些措施。</w:t>
      </w:r>
    </w:p>
    <w:p>
      <w:pPr>
        <w:ind w:firstLine="640" w:firstLineChars="200"/>
        <w:rPr>
          <w:rFonts w:hint="eastAsia" w:ascii="仿宋_GB2312" w:hAnsi="TimesNewRomanPSMT" w:eastAsia="仿宋_GB2312" w:cs="宋体"/>
          <w:kern w:val="0"/>
          <w:sz w:val="32"/>
          <w:szCs w:val="32"/>
        </w:rPr>
      </w:pPr>
      <w:r>
        <w:rPr>
          <w:rFonts w:hint="eastAsia" w:ascii="仿宋_GB2312" w:hAnsi="TimesNewRomanPSMT" w:eastAsia="仿宋_GB2312" w:cs="宋体"/>
          <w:kern w:val="0"/>
          <w:sz w:val="32"/>
          <w:szCs w:val="32"/>
        </w:rPr>
        <w:t>通过定量风险评价，危险化学品重大危险源产生的社会风险应满足图1中可容许社会风险标准要求。</w:t>
      </w:r>
    </w:p>
    <w:p>
      <w:pPr>
        <w:ind w:firstLine="539" w:firstLineChars="257"/>
        <w:rPr>
          <w:color w:val="000000"/>
        </w:rPr>
      </w:pPr>
    </w:p>
    <w:p>
      <w:pPr>
        <w:ind w:firstLine="539" w:firstLineChars="257"/>
        <w:rPr>
          <w:rFonts w:hint="eastAsia"/>
        </w:rPr>
      </w:pPr>
      <w:r>
        <w:rPr>
          <w:color w:val="000000"/>
        </w:rPr>
        <w:br w:type="page"/>
      </w:r>
    </w:p>
    <w:p>
      <w:pPr>
        <w:jc w:val="center"/>
        <w:rPr>
          <w:rFonts w:hint="eastAsia"/>
        </w:rPr>
      </w:pPr>
      <w:r>
        <mc:AlternateContent>
          <mc:Choice Requires="wpg">
            <w:drawing>
              <wp:anchor distT="0" distB="0" distL="114300" distR="114300" simplePos="0" relativeHeight="251658240" behindDoc="0" locked="0" layoutInCell="1" allowOverlap="1">
                <wp:simplePos x="0" y="0"/>
                <wp:positionH relativeFrom="column">
                  <wp:posOffset>104775</wp:posOffset>
                </wp:positionH>
                <wp:positionV relativeFrom="paragraph">
                  <wp:posOffset>360045</wp:posOffset>
                </wp:positionV>
                <wp:extent cx="4038600" cy="3063240"/>
                <wp:effectExtent l="0" t="0" r="0" b="3810"/>
                <wp:wrapNone/>
                <wp:docPr id="7" name="组合 7"/>
                <wp:cNvGraphicFramePr/>
                <a:graphic xmlns:a="http://schemas.openxmlformats.org/drawingml/2006/main">
                  <a:graphicData uri="http://schemas.microsoft.com/office/word/2010/wordprocessingGroup">
                    <wpg:wgp>
                      <wpg:cNvGrpSpPr/>
                      <wpg:grpSpPr>
                        <a:xfrm>
                          <a:off x="0" y="0"/>
                          <a:ext cx="4038600" cy="3063240"/>
                          <a:chOff x="1753" y="2580"/>
                          <a:chExt cx="6360" cy="4824"/>
                        </a:xfrm>
                      </wpg:grpSpPr>
                      <wps:wsp>
                        <wps:cNvPr id="1" name="文本框 1"/>
                        <wps:cNvSpPr txBox="1"/>
                        <wps:spPr>
                          <a:xfrm>
                            <a:off x="1753" y="2580"/>
                            <a:ext cx="840" cy="3279"/>
                          </a:xfrm>
                          <a:prstGeom prst="rect">
                            <a:avLst/>
                          </a:prstGeom>
                          <a:solidFill>
                            <a:srgbClr val="FFFFFF"/>
                          </a:solidFill>
                          <a:ln>
                            <a:noFill/>
                          </a:ln>
                        </wps:spPr>
                        <wps:txbx>
                          <w:txbxContent>
                            <w:p>
                              <w:pPr>
                                <w:rPr>
                                  <w:rFonts w:hint="eastAsia" w:ascii="仿宋_GB2312" w:eastAsia="仿宋_GB2312"/>
                                  <w:sz w:val="30"/>
                                  <w:szCs w:val="30"/>
                                </w:rPr>
                              </w:pPr>
                              <w:r>
                                <w:rPr>
                                  <w:rFonts w:hint="eastAsia" w:ascii="仿宋_GB2312" w:eastAsia="仿宋_GB2312"/>
                                  <w:sz w:val="30"/>
                                  <w:szCs w:val="30"/>
                                </w:rPr>
                                <w:t>累积频率F/（次/年）</w:t>
                              </w:r>
                            </w:p>
                          </w:txbxContent>
                        </wps:txbx>
                        <wps:bodyPr vert="vert270" upright="1"/>
                      </wps:wsp>
                      <wps:wsp>
                        <wps:cNvPr id="2" name="文本框 2"/>
                        <wps:cNvSpPr txBox="1"/>
                        <wps:spPr>
                          <a:xfrm>
                            <a:off x="4858" y="6624"/>
                            <a:ext cx="3255" cy="780"/>
                          </a:xfrm>
                          <a:prstGeom prst="rect">
                            <a:avLst/>
                          </a:prstGeom>
                          <a:solidFill>
                            <a:srgbClr val="FFFFFF"/>
                          </a:solidFill>
                          <a:ln>
                            <a:noFill/>
                          </a:ln>
                        </wps:spPr>
                        <wps:txbx>
                          <w:txbxContent>
                            <w:p>
                              <w:pPr>
                                <w:rPr>
                                  <w:rFonts w:hint="eastAsia" w:ascii="仿宋_GB2312" w:eastAsia="仿宋_GB2312"/>
                                  <w:sz w:val="30"/>
                                  <w:szCs w:val="30"/>
                                </w:rPr>
                              </w:pPr>
                              <w:r>
                                <w:rPr>
                                  <w:rFonts w:hint="eastAsia" w:ascii="仿宋_GB2312" w:eastAsia="仿宋_GB2312"/>
                                  <w:sz w:val="30"/>
                                  <w:szCs w:val="30"/>
                                </w:rPr>
                                <w:t>死亡人数  N/（个）</w:t>
                              </w:r>
                            </w:p>
                          </w:txbxContent>
                        </wps:txbx>
                        <wps:bodyPr upright="1"/>
                      </wps:wsp>
                      <wpg:grpSp>
                        <wpg:cNvPr id="6" name="组合 6"/>
                        <wpg:cNvGrpSpPr/>
                        <wpg:grpSpPr>
                          <a:xfrm>
                            <a:off x="3878" y="2637"/>
                            <a:ext cx="1385" cy="2964"/>
                            <a:chOff x="3927" y="9374"/>
                            <a:chExt cx="1093" cy="2964"/>
                          </a:xfrm>
                        </wpg:grpSpPr>
                        <wps:wsp>
                          <wps:cNvPr id="3" name="文本框 3"/>
                          <wps:cNvSpPr txBox="1"/>
                          <wps:spPr>
                            <a:xfrm>
                              <a:off x="3940" y="12026"/>
                              <a:ext cx="1080" cy="312"/>
                            </a:xfrm>
                            <a:prstGeom prst="rect">
                              <a:avLst/>
                            </a:prstGeom>
                            <a:solidFill>
                              <a:srgbClr val="FFFFFF"/>
                            </a:solidFill>
                            <a:ln>
                              <a:noFill/>
                            </a:ln>
                          </wps:spPr>
                          <wps:txbx>
                            <w:txbxContent>
                              <w:p>
                                <w:pPr>
                                  <w:jc w:val="center"/>
                                  <w:rPr>
                                    <w:szCs w:val="21"/>
                                  </w:rPr>
                                </w:pPr>
                                <w:r>
                                  <w:rPr>
                                    <w:rFonts w:hint="eastAsia"/>
                                    <w:szCs w:val="21"/>
                                  </w:rPr>
                                  <w:t>可容许区</w:t>
                                </w:r>
                              </w:p>
                            </w:txbxContent>
                          </wps:txbx>
                          <wps:bodyPr lIns="0" tIns="0" rIns="0" bIns="0" upright="1"/>
                        </wps:wsp>
                        <wps:wsp>
                          <wps:cNvPr id="4" name="文本框 4"/>
                          <wps:cNvSpPr txBox="1"/>
                          <wps:spPr>
                            <a:xfrm>
                              <a:off x="3938" y="10622"/>
                              <a:ext cx="1080" cy="312"/>
                            </a:xfrm>
                            <a:prstGeom prst="rect">
                              <a:avLst/>
                            </a:prstGeom>
                            <a:solidFill>
                              <a:srgbClr val="FFFFFF"/>
                            </a:solidFill>
                            <a:ln>
                              <a:noFill/>
                            </a:ln>
                          </wps:spPr>
                          <wps:txbx>
                            <w:txbxContent>
                              <w:p>
                                <w:pPr>
                                  <w:jc w:val="center"/>
                                  <w:rPr>
                                    <w:szCs w:val="21"/>
                                  </w:rPr>
                                </w:pPr>
                                <w:r>
                                  <w:rPr>
                                    <w:rFonts w:hint="eastAsia"/>
                                    <w:szCs w:val="21"/>
                                  </w:rPr>
                                  <w:t>尽可能降低区</w:t>
                                </w:r>
                              </w:p>
                            </w:txbxContent>
                          </wps:txbx>
                          <wps:bodyPr lIns="0" tIns="0" rIns="0" bIns="0" upright="1"/>
                        </wps:wsp>
                        <wps:wsp>
                          <wps:cNvPr id="5" name="文本框 5"/>
                          <wps:cNvSpPr txBox="1"/>
                          <wps:spPr>
                            <a:xfrm>
                              <a:off x="3927" y="9374"/>
                              <a:ext cx="1080" cy="312"/>
                            </a:xfrm>
                            <a:prstGeom prst="rect">
                              <a:avLst/>
                            </a:prstGeom>
                            <a:solidFill>
                              <a:srgbClr val="FFFFFF"/>
                            </a:solidFill>
                            <a:ln>
                              <a:noFill/>
                            </a:ln>
                          </wps:spPr>
                          <wps:txbx>
                            <w:txbxContent>
                              <w:p>
                                <w:pPr>
                                  <w:jc w:val="center"/>
                                  <w:rPr>
                                    <w:szCs w:val="21"/>
                                  </w:rPr>
                                </w:pPr>
                                <w:r>
                                  <w:rPr>
                                    <w:rFonts w:hint="eastAsia"/>
                                    <w:szCs w:val="21"/>
                                  </w:rPr>
                                  <w:t>不可容许区</w:t>
                                </w:r>
                              </w:p>
                            </w:txbxContent>
                          </wps:txbx>
                          <wps:bodyPr lIns="0" tIns="0" rIns="0" bIns="0" upright="1"/>
                        </wps:wsp>
                      </wpg:grpSp>
                    </wpg:wgp>
                  </a:graphicData>
                </a:graphic>
              </wp:anchor>
            </w:drawing>
          </mc:Choice>
          <mc:Fallback>
            <w:pict>
              <v:group id="_x0000_s1026" o:spid="_x0000_s1026" o:spt="203" style="position:absolute;left:0pt;margin-left:8.25pt;margin-top:28.35pt;height:241.2pt;width:318pt;z-index:251658240;mso-width-relative:page;mso-height-relative:page;" coordorigin="1753,2580" coordsize="6360,4824" o:gfxdata="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pkDU12AAAAAkBAAAPAAAAAAAAAAEAIAAAACIAAABkcnMvZG93bnJl&#10;di54bWxQSwECFAAUAAAACACHTuJAIDvSMhoDAAC+DAAADgAAAAAAAAABACAAAAAnAQAAZHJzL2Uy&#10;b0RvYy54bWxQSwUGAAAAAAYABgBZAQAAswYAAAAA&#10;">
                <o:lock v:ext="edit" aspectratio="f"/>
                <v:shape id="_x0000_s1026" o:spid="_x0000_s1026" o:spt="202" type="#_x0000_t202" style="position:absolute;left:1753;top:2580;height:3279;width:840;" fillcolor="#FFFFFF" filled="t" stroked="f" coordsize="21600,21600" o:gfxdata="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fsV6bgAAADaAAAA&#10;DwAAAAAAAAABACAAAAAiAAAAZHJzL2Rvd25yZXYueG1sUEsBAhQAFAAAAAgAh07iQDMvBZ47AAAA&#10;OQAAABAAAAAAAAAAAQAgAAAABwEAAGRycy9zaGFwZXhtbC54bWxQSwUGAAAAAAYABgBbAQAAsQMA&#10;AAAA&#10;">
                  <v:fill on="t" focussize="0,0"/>
                  <v:stroke on="f"/>
                  <v:imagedata o:title=""/>
                  <o:lock v:ext="edit" aspectratio="f"/>
                  <v:textbox style="layout-flow:vertical;mso-layout-flow-alt:bottom-to-top;">
                    <w:txbxContent>
                      <w:p>
                        <w:pPr>
                          <w:rPr>
                            <w:rFonts w:hint="eastAsia" w:ascii="仿宋_GB2312" w:eastAsia="仿宋_GB2312"/>
                            <w:sz w:val="30"/>
                            <w:szCs w:val="30"/>
                          </w:rPr>
                        </w:pPr>
                        <w:r>
                          <w:rPr>
                            <w:rFonts w:hint="eastAsia" w:ascii="仿宋_GB2312" w:eastAsia="仿宋_GB2312"/>
                            <w:sz w:val="30"/>
                            <w:szCs w:val="30"/>
                          </w:rPr>
                          <w:t>累积频率F/（次/年）</w:t>
                        </w:r>
                      </w:p>
                    </w:txbxContent>
                  </v:textbox>
                </v:shape>
                <v:shape id="_x0000_s1026" o:spid="_x0000_s1026" o:spt="202" type="#_x0000_t202" style="position:absolute;left:4858;top:6624;height:780;width:3255;" fillcolor="#FFFFFF" filled="t" stroked="f" coordsize="21600,21600" o:gfxdata="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gt8fr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rFonts w:hint="eastAsia" w:ascii="仿宋_GB2312" w:eastAsia="仿宋_GB2312"/>
                            <w:sz w:val="30"/>
                            <w:szCs w:val="30"/>
                          </w:rPr>
                        </w:pPr>
                        <w:r>
                          <w:rPr>
                            <w:rFonts w:hint="eastAsia" w:ascii="仿宋_GB2312" w:eastAsia="仿宋_GB2312"/>
                            <w:sz w:val="30"/>
                            <w:szCs w:val="30"/>
                          </w:rPr>
                          <w:t>死亡人数  N/（个）</w:t>
                        </w:r>
                      </w:p>
                    </w:txbxContent>
                  </v:textbox>
                </v:shape>
                <v:group id="_x0000_s1026" o:spid="_x0000_s1026" o:spt="203" style="position:absolute;left:3878;top:2637;height:2964;width:1385;" coordorigin="3927,9374" coordsize="1093,296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940;top:12026;height:312;width:1080;" fillcolor="#FFFFFF" filled="t" stroked="f" coordsize="21600,21600" o:gfxdata="UEsDBAoAAAAAAIdO4kAAAAAAAAAAAAAAAAAEAAAAZHJzL1BLAwQUAAAACACHTuJA+FBGhr0AAADa&#10;AAAADwAAAGRycy9kb3ducmV2LnhtbEWPT4vCMBTE74LfITxhL6JpF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UEaG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Cs w:val="21"/>
                            </w:rPr>
                          </w:pPr>
                          <w:r>
                            <w:rPr>
                              <w:rFonts w:hint="eastAsia"/>
                              <w:szCs w:val="21"/>
                            </w:rPr>
                            <w:t>可容许区</w:t>
                          </w:r>
                        </w:p>
                      </w:txbxContent>
                    </v:textbox>
                  </v:shape>
                  <v:shape id="_x0000_s1026" o:spid="_x0000_s1026" o:spt="202" type="#_x0000_t202" style="position:absolute;left:3938;top:10622;height:312;width:1080;" fillcolor="#FFFFFF" filled="t" stroked="f" coordsize="21600,21600" o:gfxdata="UEsDBAoAAAAAAIdO4kAAAAAAAAAAAAAAAAAEAAAAZHJzL1BLAwQUAAAACACHTuJAd7ne8r0AAADa&#10;AAAADwAAAGRycy9kb3ducmV2LnhtbEWPT4vCMBTE74LfITxhL6JpRWS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ud7y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Cs w:val="21"/>
                            </w:rPr>
                          </w:pPr>
                          <w:r>
                            <w:rPr>
                              <w:rFonts w:hint="eastAsia"/>
                              <w:szCs w:val="21"/>
                            </w:rPr>
                            <w:t>尽可能降低区</w:t>
                          </w:r>
                        </w:p>
                      </w:txbxContent>
                    </v:textbox>
                  </v:shape>
                  <v:shape id="_x0000_s1026" o:spid="_x0000_s1026" o:spt="202" type="#_x0000_t202" style="position:absolute;left:3927;top:9374;height:312;width:1080;" fillcolor="#FFFFFF" filled="t" stroked="f" coordsize="21600,21600" o:gfxdata="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9XtpvQAA&#10;ANo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szCs w:val="21"/>
                            </w:rPr>
                          </w:pPr>
                          <w:r>
                            <w:rPr>
                              <w:rFonts w:hint="eastAsia"/>
                              <w:szCs w:val="21"/>
                            </w:rPr>
                            <w:t>不可容许区</w:t>
                          </w:r>
                        </w:p>
                      </w:txbxContent>
                    </v:textbox>
                  </v:shape>
                </v:group>
              </v:group>
            </w:pict>
          </mc:Fallback>
        </mc:AlternateContent>
      </w:r>
      <w:r>
        <w:object>
          <v:shape id="_x0000_i1026" o:spt="75" type="#_x0000_t75" style="height:225.65pt;width:341.85pt;" o:ole="t" filled="f" stroked="f" coordsize="21600,21600">
            <v:path/>
            <v:fill on="f" focussize="0,0"/>
            <v:stroke on="f"/>
            <v:imagedata r:id="rId7" cropleft="3115f" croptop="7082f" cropright="3244f" cropbottom="5423f" o:title=""/>
            <o:lock v:ext="edit" aspectratio="t"/>
            <w10:wrap type="none"/>
            <w10:anchorlock/>
          </v:shape>
          <o:OLEObject Type="Embed" ProgID="Origin50.Graph" ShapeID="_x0000_i1026" DrawAspect="Content" ObjectID="_1468075726" r:id="rId6">
            <o:LockedField>false</o:LockedField>
          </o:OLEObject>
        </w:object>
      </w:r>
    </w:p>
    <w:p>
      <w:pPr>
        <w:jc w:val="center"/>
        <w:rPr>
          <w:rFonts w:hint="eastAsia" w:ascii="仿宋_GB2312" w:eastAsia="仿宋_GB2312"/>
          <w:sz w:val="28"/>
          <w:szCs w:val="28"/>
        </w:rPr>
      </w:pPr>
      <w:r>
        <w:rPr>
          <w:rFonts w:hint="eastAsia" w:ascii="仿宋_GB2312" w:eastAsia="仿宋_GB2312"/>
          <w:sz w:val="28"/>
          <w:szCs w:val="28"/>
        </w:rPr>
        <w:t xml:space="preserve">   </w:t>
      </w:r>
    </w:p>
    <w:p>
      <w:pPr>
        <w:jc w:val="center"/>
        <w:rPr>
          <w:rFonts w:hint="eastAsia" w:ascii="仿宋_GB2312" w:eastAsia="仿宋_GB2312"/>
          <w:sz w:val="30"/>
          <w:szCs w:val="30"/>
        </w:rPr>
      </w:pPr>
      <w:r>
        <w:rPr>
          <w:rFonts w:hint="eastAsia" w:ascii="仿宋_GB2312" w:eastAsia="仿宋_GB2312"/>
          <w:sz w:val="30"/>
          <w:szCs w:val="30"/>
        </w:rPr>
        <w:t xml:space="preserve"> 图1 可容许社会风险标准（</w:t>
      </w:r>
      <w:r>
        <w:rPr>
          <w:rFonts w:hint="eastAsia" w:ascii="仿宋_GB2312" w:eastAsia="仿宋_GB2312"/>
          <w:i/>
          <w:sz w:val="30"/>
          <w:szCs w:val="30"/>
        </w:rPr>
        <w:t>F</w:t>
      </w:r>
      <w:r>
        <w:rPr>
          <w:rFonts w:hint="eastAsia" w:ascii="仿宋_GB2312" w:eastAsia="仿宋_GB2312"/>
          <w:sz w:val="30"/>
          <w:szCs w:val="30"/>
        </w:rPr>
        <w:t>-</w:t>
      </w:r>
      <w:r>
        <w:rPr>
          <w:rFonts w:hint="eastAsia" w:ascii="仿宋_GB2312" w:eastAsia="仿宋_GB2312"/>
          <w:i/>
          <w:sz w:val="30"/>
          <w:szCs w:val="30"/>
        </w:rPr>
        <w:t>N</w:t>
      </w:r>
      <w:r>
        <w:rPr>
          <w:rFonts w:hint="eastAsia" w:ascii="仿宋_GB2312" w:eastAsia="仿宋_GB2312"/>
          <w:sz w:val="30"/>
          <w:szCs w:val="30"/>
        </w:rPr>
        <w:t>）曲线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TimesNewRoman,Bold">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44AF1"/>
    <w:rsid w:val="41E4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character" w:styleId="5">
    <w:name w:val="Hyperlink"/>
    <w:basedOn w:val="4"/>
    <w:uiPriority w:val="0"/>
    <w:rPr>
      <w:color w:val="0000FF"/>
      <w:u w:val="single"/>
    </w:rPr>
  </w:style>
  <w:style w:type="character" w:customStyle="1" w:styleId="6">
    <w:name w:val="bsharetext"/>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2021-07-26T03:23:00Z</dcterms:created>
  <dc:creator>monkeyhappy</dc:creator>
  <cp:lastModifiedBy>monkeyhappy</cp:lastModifiedBy>
  <dcterms:modified xsi:type="dcterms:W3CDTF">2021-07-26T03:25:51Z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