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bookmarkStart w:id="0" w:name="_Toc479928017"/>
      <w:bookmarkStart w:id="1" w:name="_Toc505070553"/>
      <w:bookmarkStart w:id="2" w:name="_Toc479927963"/>
      <w:bookmarkStart w:id="3" w:name="_Toc479928507"/>
      <w:r>
        <w:rPr>
          <w:rFonts w:hint="eastAsia" w:ascii="黑体" w:eastAsia="黑体"/>
          <w:sz w:val="30"/>
          <w:szCs w:val="30"/>
        </w:rPr>
        <w:t>“双体系”持续更新管理制度</w:t>
      </w:r>
    </w:p>
    <w:p>
      <w:pPr>
        <w:rPr>
          <w:sz w:val="30"/>
          <w:szCs w:val="30"/>
        </w:rPr>
      </w:pPr>
      <w:r>
        <w:rPr>
          <w:rFonts w:hint="eastAsia"/>
          <w:sz w:val="30"/>
          <w:szCs w:val="30"/>
        </w:rPr>
        <w:t>1.评审要求</w:t>
      </w:r>
    </w:p>
    <w:p>
      <w:pPr>
        <w:ind w:left="0" w:leftChars="0" w:firstLine="639" w:firstLineChars="213"/>
        <w:rPr>
          <w:sz w:val="30"/>
          <w:szCs w:val="30"/>
        </w:rPr>
      </w:pPr>
      <w:r>
        <w:rPr>
          <w:rFonts w:hint="eastAsia"/>
          <w:sz w:val="30"/>
          <w:szCs w:val="30"/>
        </w:rPr>
        <w:t>1）根据公司的实际情况至少每年对风险分级管控体系进行一次系统性评审或更新。应当根据非常规作业活动、新增功能性区域、装置或设施等适时开展危险源辨识和风险评价。进行补充或更换，采取预防与纠正措施确保风险可控并持续有效运行。</w:t>
      </w:r>
    </w:p>
    <w:p>
      <w:pPr>
        <w:ind w:left="0" w:leftChars="0" w:firstLine="639" w:firstLineChars="213"/>
        <w:rPr>
          <w:sz w:val="30"/>
          <w:szCs w:val="30"/>
        </w:rPr>
      </w:pPr>
      <w:r>
        <w:rPr>
          <w:rFonts w:hint="eastAsia"/>
          <w:sz w:val="30"/>
          <w:szCs w:val="30"/>
        </w:rPr>
        <w:t>2）公司应适时和定期对隐患排查治理体系运行情况进行评审，以确保其持续适宜性、充分性和有效性。评审应包括体系改进的可能性和对体系进行修改的需求。评审每年应不少于一次，当发生更新时应及时组织评审。应保存评审记录。</w:t>
      </w:r>
    </w:p>
    <w:p>
      <w:pPr>
        <w:rPr>
          <w:sz w:val="30"/>
          <w:szCs w:val="30"/>
        </w:rPr>
      </w:pPr>
      <w:bookmarkStart w:id="4" w:name="_Toc505069187"/>
      <w:r>
        <w:rPr>
          <w:rFonts w:hint="eastAsia"/>
          <w:sz w:val="30"/>
          <w:szCs w:val="30"/>
        </w:rPr>
        <w:t>2.更新</w:t>
      </w:r>
      <w:bookmarkEnd w:id="4"/>
      <w:r>
        <w:rPr>
          <w:rFonts w:hint="eastAsia"/>
          <w:sz w:val="30"/>
          <w:szCs w:val="30"/>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宋体" w:hAnsi="宋体" w:eastAsia="宋体"/>
          <w:sz w:val="30"/>
          <w:szCs w:val="30"/>
        </w:rPr>
      </w:pPr>
      <w:r>
        <w:rPr>
          <w:rFonts w:hint="eastAsia" w:ascii="宋体" w:hAnsi="宋体" w:eastAsia="宋体"/>
          <w:sz w:val="30"/>
          <w:szCs w:val="30"/>
        </w:rPr>
        <w:t>1）公司主动根据以下情况变化对风险管控的影响，及时针对变化范围开展风险分析，及时更新风险信息：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a.法规、标准等增减、修订变化所引起风险程度的改变；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b.发生事故后，有对事故、事件或其他信息的新认识，对相关危险源的再评价；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c.组织机构发生重大调整；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d.补充新辨识出的危险源评价；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e.风险程度变化后，需要对风险控制措施的调整。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ascii="宋体" w:hAnsi="宋体" w:eastAsia="宋体"/>
          <w:sz w:val="30"/>
          <w:szCs w:val="30"/>
        </w:rPr>
      </w:pPr>
      <w:r>
        <w:rPr>
          <w:rFonts w:hint="eastAsia" w:ascii="宋体" w:hAnsi="宋体" w:eastAsia="宋体"/>
          <w:sz w:val="30"/>
          <w:szCs w:val="30"/>
        </w:rPr>
        <w:t>2）公司根据以下情况对隐患排查治理体系的影响，及时更新隐患排查治理的范围、隐患等级和类别、隐患信息等内容，主要包括：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a.法律法规及标准规程变化或更新；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b.政府规范性文件提出新要求；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c公司组织机构及安全管理机制发生变化；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d.公司生产工艺发生变化、设备设施增减、使用原辅材料变化等；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e.自身提出更高要求；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f.事故事件、紧急情况或应急预案演练结果反馈的需求；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sz w:val="30"/>
          <w:szCs w:val="30"/>
        </w:rPr>
      </w:pPr>
      <w:r>
        <w:rPr>
          <w:rFonts w:hint="eastAsia"/>
          <w:sz w:val="30"/>
          <w:szCs w:val="30"/>
        </w:rPr>
        <w:t>g.其它情形出现应当进行评审。</w:t>
      </w:r>
    </w:p>
    <w:p>
      <w:pPr>
        <w:rPr>
          <w:sz w:val="30"/>
          <w:szCs w:val="30"/>
        </w:rPr>
      </w:pPr>
      <w:bookmarkStart w:id="5" w:name="_Toc505069188"/>
      <w:r>
        <w:rPr>
          <w:rFonts w:hint="eastAsia"/>
          <w:sz w:val="30"/>
          <w:szCs w:val="30"/>
        </w:rPr>
        <w:t>3.沟通</w:t>
      </w:r>
      <w:bookmarkEnd w:id="5"/>
    </w:p>
    <w:p>
      <w:pPr>
        <w:ind w:firstLine="450" w:firstLineChars="150"/>
        <w:rPr>
          <w:sz w:val="30"/>
          <w:szCs w:val="30"/>
        </w:rPr>
      </w:pPr>
      <w:r>
        <w:rPr>
          <w:rFonts w:hint="eastAsia"/>
          <w:sz w:val="30"/>
          <w:szCs w:val="30"/>
        </w:rPr>
        <w:t>1）公司建立不同职能和层级间的内部沟通和用于与相关方的外部风险管控沟通机制，及时有效传递风险信息，提高风险管控效果和效率。重大风险信息更新后应及时组织相关人员进行培训。</w:t>
      </w:r>
    </w:p>
    <w:bookmarkEnd w:id="0"/>
    <w:bookmarkEnd w:id="1"/>
    <w:bookmarkEnd w:id="2"/>
    <w:bookmarkEnd w:id="3"/>
    <w:p>
      <w:pPr>
        <w:rPr>
          <w:rFonts w:ascii="宋体" w:hAnsi="宋体" w:eastAsia="宋体"/>
          <w:sz w:val="30"/>
          <w:szCs w:val="30"/>
        </w:rPr>
      </w:pPr>
      <w:r>
        <w:rPr>
          <w:rFonts w:hint="eastAsia" w:ascii="宋体" w:hAnsi="宋体" w:eastAsia="宋体"/>
          <w:sz w:val="30"/>
          <w:szCs w:val="30"/>
        </w:rPr>
        <w:t>公司应建立不同职能和层级间的内部沟通和用于与相关方的外部沟通机制，及时有效传递隐患信息，提高隐患排查治理的效果和效率。</w:t>
      </w:r>
      <w:bookmarkStart w:id="6" w:name="_GoBack"/>
      <w:bookmarkEnd w:id="6"/>
    </w:p>
    <w:p>
      <w:pPr>
        <w:ind w:firstLine="300" w:firstLineChars="100"/>
        <w:rPr>
          <w:rFonts w:ascii="宋体" w:hAnsi="宋体" w:eastAsia="宋体"/>
          <w:sz w:val="30"/>
          <w:szCs w:val="30"/>
        </w:rPr>
      </w:pPr>
      <w:r>
        <w:rPr>
          <w:rFonts w:hint="eastAsia" w:ascii="宋体" w:hAnsi="宋体" w:eastAsia="宋体"/>
          <w:sz w:val="30"/>
          <w:szCs w:val="30"/>
        </w:rPr>
        <w:t>2）公司主动识别内部各级人员隐患排查治理相关培训需求，并纳入公司培训计划，组织相关培训。公司应不断增强从业人员的安全意识和能力，使其熟悉隐患排查的方法，消除各类隐患，有效控制岗位风险，减少和杜绝安全生产事故发生，保证安全生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15"/>
      <w:suff w:val="nothing"/>
      <w:lvlText w:val="%1——"/>
      <w:lvlJc w:val="left"/>
      <w:pPr>
        <w:ind w:left="833" w:hanging="408"/>
      </w:pPr>
      <w:rPr>
        <w:rFonts w:hint="eastAsia"/>
      </w:rPr>
    </w:lvl>
    <w:lvl w:ilvl="1" w:tentative="0">
      <w:start w:val="1"/>
      <w:numFmt w:val="bullet"/>
      <w:pStyle w:val="16"/>
      <w:lvlText w:val=""/>
      <w:lvlJc w:val="left"/>
      <w:pPr>
        <w:tabs>
          <w:tab w:val="left" w:pos="760"/>
        </w:tabs>
        <w:ind w:left="1264" w:hanging="413"/>
      </w:pPr>
      <w:rPr>
        <w:rFonts w:hint="default" w:ascii="Symbol" w:hAnsi="Symbol"/>
        <w:color w:val="auto"/>
      </w:rPr>
    </w:lvl>
    <w:lvl w:ilvl="2" w:tentative="0">
      <w:start w:val="1"/>
      <w:numFmt w:val="bullet"/>
      <w:pStyle w:val="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64E0"/>
    <w:rsid w:val="000014A9"/>
    <w:rsid w:val="00046CA7"/>
    <w:rsid w:val="00073A91"/>
    <w:rsid w:val="000864E0"/>
    <w:rsid w:val="000A6811"/>
    <w:rsid w:val="00243AD5"/>
    <w:rsid w:val="0026374E"/>
    <w:rsid w:val="00285A48"/>
    <w:rsid w:val="003438F8"/>
    <w:rsid w:val="003B582C"/>
    <w:rsid w:val="00626A9E"/>
    <w:rsid w:val="00986F2D"/>
    <w:rsid w:val="00A6461D"/>
    <w:rsid w:val="00B45F06"/>
    <w:rsid w:val="00C0425C"/>
    <w:rsid w:val="00C44686"/>
    <w:rsid w:val="00C8782D"/>
    <w:rsid w:val="00DC7F7B"/>
    <w:rsid w:val="00E006A5"/>
    <w:rsid w:val="00F62EB2"/>
    <w:rsid w:val="00F73E9F"/>
    <w:rsid w:val="00F76157"/>
    <w:rsid w:val="00F81FDF"/>
    <w:rsid w:val="01301840"/>
    <w:rsid w:val="1F9465BD"/>
    <w:rsid w:val="49B7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6"/>
    <w:semiHidden/>
    <w:unhideWhenUsed/>
    <w:qFormat/>
    <w:uiPriority w:val="99"/>
    <w:rPr>
      <w:sz w:val="18"/>
      <w:szCs w:val="18"/>
    </w:rPr>
  </w:style>
  <w:style w:type="paragraph" w:styleId="3">
    <w:name w:val="footer"/>
    <w:basedOn w:val="1"/>
    <w:link w:val="25"/>
    <w:semiHidden/>
    <w:unhideWhenUsed/>
    <w:qFormat/>
    <w:uiPriority w:val="99"/>
    <w:pPr>
      <w:tabs>
        <w:tab w:val="center" w:pos="4153"/>
        <w:tab w:val="right" w:pos="8306"/>
      </w:tabs>
      <w:snapToGrid w:val="0"/>
      <w:jc w:val="left"/>
    </w:pPr>
    <w:rPr>
      <w:sz w:val="18"/>
      <w:szCs w:val="18"/>
    </w:rPr>
  </w:style>
  <w:style w:type="paragraph" w:styleId="4">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章标题"/>
    <w:next w:val="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一级条标题"/>
    <w:next w:val="8"/>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0">
    <w:name w:val="二级条标题"/>
    <w:basedOn w:val="9"/>
    <w:next w:val="8"/>
    <w:qFormat/>
    <w:uiPriority w:val="0"/>
    <w:pPr>
      <w:numPr>
        <w:ilvl w:val="2"/>
      </w:numPr>
      <w:spacing w:before="50" w:after="50"/>
      <w:outlineLvl w:val="3"/>
    </w:pPr>
  </w:style>
  <w:style w:type="paragraph" w:customStyle="1" w:styleId="11">
    <w:name w:val="三级条标题"/>
    <w:basedOn w:val="10"/>
    <w:next w:val="8"/>
    <w:qFormat/>
    <w:uiPriority w:val="0"/>
    <w:pPr>
      <w:numPr>
        <w:ilvl w:val="3"/>
      </w:numPr>
      <w:outlineLvl w:val="4"/>
    </w:pPr>
  </w:style>
  <w:style w:type="paragraph" w:customStyle="1" w:styleId="12">
    <w:name w:val="四级条标题"/>
    <w:basedOn w:val="11"/>
    <w:next w:val="8"/>
    <w:qFormat/>
    <w:uiPriority w:val="0"/>
    <w:pPr>
      <w:numPr>
        <w:ilvl w:val="4"/>
      </w:numPr>
      <w:outlineLvl w:val="5"/>
    </w:pPr>
  </w:style>
  <w:style w:type="paragraph" w:customStyle="1" w:styleId="13">
    <w:name w:val="五级条标题"/>
    <w:basedOn w:val="12"/>
    <w:next w:val="8"/>
    <w:qFormat/>
    <w:uiPriority w:val="0"/>
    <w:pPr>
      <w:numPr>
        <w:ilvl w:val="5"/>
      </w:numPr>
      <w:outlineLvl w:val="6"/>
    </w:pPr>
  </w:style>
  <w:style w:type="character" w:customStyle="1" w:styleId="14">
    <w:name w:val="段 Char"/>
    <w:basedOn w:val="6"/>
    <w:link w:val="8"/>
    <w:qFormat/>
    <w:uiPriority w:val="0"/>
    <w:rPr>
      <w:rFonts w:ascii="宋体" w:hAnsi="Times New Roman" w:eastAsia="宋体" w:cs="Times New Roman"/>
      <w:kern w:val="0"/>
      <w:szCs w:val="20"/>
    </w:rPr>
  </w:style>
  <w:style w:type="paragraph" w:customStyle="1" w:styleId="15">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16">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17">
    <w:name w:val="列项◆（三级）"/>
    <w:basedOn w:val="1"/>
    <w:qFormat/>
    <w:uiPriority w:val="0"/>
    <w:pPr>
      <w:numPr>
        <w:ilvl w:val="2"/>
        <w:numId w:val="2"/>
      </w:numPr>
    </w:pPr>
    <w:rPr>
      <w:rFonts w:ascii="宋体" w:hAnsi="Times New Roman" w:eastAsia="宋体" w:cs="Times New Roman"/>
      <w:szCs w:val="21"/>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0">
    <w:name w:val="目次、标准名称标题"/>
    <w:basedOn w:val="1"/>
    <w:next w:val="8"/>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2">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3">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character" w:customStyle="1" w:styleId="24">
    <w:name w:val="页眉 Char"/>
    <w:basedOn w:val="6"/>
    <w:link w:val="4"/>
    <w:semiHidden/>
    <w:qFormat/>
    <w:uiPriority w:val="99"/>
    <w:rPr>
      <w:sz w:val="18"/>
      <w:szCs w:val="18"/>
    </w:rPr>
  </w:style>
  <w:style w:type="character" w:customStyle="1" w:styleId="25">
    <w:name w:val="页脚 Char"/>
    <w:basedOn w:val="6"/>
    <w:link w:val="3"/>
    <w:semiHidden/>
    <w:qFormat/>
    <w:uiPriority w:val="99"/>
    <w:rPr>
      <w:sz w:val="18"/>
      <w:szCs w:val="18"/>
    </w:rPr>
  </w:style>
  <w:style w:type="character" w:customStyle="1" w:styleId="26">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130</Words>
  <Characters>742</Characters>
  <Lines>6</Lines>
  <Paragraphs>1</Paragraphs>
  <TotalTime>4</TotalTime>
  <ScaleCrop>false</ScaleCrop>
  <LinksUpToDate>false</LinksUpToDate>
  <CharactersWithSpaces>871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2018-06-15T15:03:00Z</dcterms:created>
  <dc:creator>User</dc:creator>
  <cp:lastModifiedBy>玲俐</cp:lastModifiedBy>
  <cp:lastPrinted>2018-06-17T14:56:00Z</cp:lastPrinted>
  <dcterms:modified xsi:type="dcterms:W3CDTF">2021-04-13T06:37:48Z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867746D19A3345B4B24DF88E104C2DEE</vt:lpwstr>
  </property>
</Properties>
</file>