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bCs/>
          <w:szCs w:val="22"/>
        </w:rPr>
      </w:pPr>
      <w:bookmarkStart w:id="0" w:name="_Toc479927997"/>
      <w:bookmarkStart w:id="1" w:name="_Toc479927943"/>
      <w:r>
        <w:rPr>
          <w:rFonts w:hint="eastAsia"/>
          <w:bCs/>
          <w:szCs w:val="22"/>
        </w:rPr>
        <w:t>隐患排查治理体系</w:t>
      </w:r>
    </w:p>
    <w:p>
      <w:pPr>
        <w:pStyle w:val="17"/>
        <w:rPr>
          <w:bCs/>
          <w:szCs w:val="22"/>
        </w:rPr>
      </w:pPr>
      <w:r>
        <w:rPr>
          <w:rFonts w:hint="eastAsia"/>
          <w:bCs/>
          <w:szCs w:val="22"/>
        </w:rPr>
        <w:t>作业指导书</w:t>
      </w:r>
    </w:p>
    <w:p>
      <w:pPr>
        <w:pStyle w:val="13"/>
        <w:rPr>
          <w:rFonts w:hint="eastAsia"/>
        </w:rPr>
      </w:pPr>
      <w:r>
        <w:rPr>
          <w:rFonts w:hint="eastAsia"/>
        </w:rPr>
        <w:t>目</w:t>
      </w:r>
      <w:bookmarkStart w:id="2" w:name="BKML"/>
      <w:r>
        <w:rPr>
          <w:rFonts w:hAnsi="黑体"/>
        </w:rPr>
        <w:t>  </w:t>
      </w:r>
      <w:r>
        <w:rPr>
          <w:rFonts w:hint="eastAsia"/>
        </w:rPr>
        <w:t>次</w:t>
      </w:r>
      <w:bookmarkEnd w:id="2"/>
    </w:p>
    <w:p>
      <w:pPr>
        <w:pStyle w:val="3"/>
        <w:tabs>
          <w:tab w:val="right" w:leader="dot" w:pos="8306"/>
          <w:tab w:val="clear" w:pos="9241"/>
        </w:tabs>
      </w:pPr>
      <w:r>
        <w:fldChar w:fldCharType="begin"/>
      </w:r>
      <w:r>
        <w:instrText xml:space="preserve"> TOC \h \z \t"前言、引言标题,1,参考文献、索引标题,1,章标题,1,参考文献,1,附录标识,1,一级条标题, 3" \* MERGEFORMAT  \* MERGEFORMAT  \* MERGEFORMAT  \* MERGEFORMAT </w:instrText>
      </w:r>
      <w:r>
        <w:fldChar w:fldCharType="separate"/>
      </w:r>
      <w:r>
        <w:fldChar w:fldCharType="begin"/>
      </w:r>
      <w:r>
        <w:instrText xml:space="preserve"> HYPERLINK \l _Toc30965 </w:instrText>
      </w:r>
      <w:r>
        <w:fldChar w:fldCharType="separate"/>
      </w:r>
      <w:r>
        <w:rPr>
          <w:rFonts w:hint="eastAsia" w:ascii="黑体" w:hAnsi="Times New Roman" w:eastAsia="黑体"/>
          <w:i w:val="0"/>
          <w:szCs w:val="21"/>
        </w:rPr>
        <w:t xml:space="preserve">1 </w:t>
      </w:r>
      <w:r>
        <w:rPr>
          <w:rFonts w:hint="eastAsia"/>
        </w:rPr>
        <w:t>范围</w:t>
      </w:r>
      <w:r>
        <w:tab/>
      </w:r>
      <w:r>
        <w:fldChar w:fldCharType="begin"/>
      </w:r>
      <w:r>
        <w:instrText xml:space="preserve"> PAGEREF _Toc30965 </w:instrText>
      </w:r>
      <w:r>
        <w:fldChar w:fldCharType="separate"/>
      </w:r>
      <w:r>
        <w:t>3</w:t>
      </w:r>
      <w:r>
        <w:fldChar w:fldCharType="end"/>
      </w:r>
      <w:r>
        <w:fldChar w:fldCharType="end"/>
      </w:r>
    </w:p>
    <w:p>
      <w:pPr>
        <w:pStyle w:val="3"/>
        <w:tabs>
          <w:tab w:val="right" w:leader="dot" w:pos="8306"/>
          <w:tab w:val="clear" w:pos="9241"/>
        </w:tabs>
      </w:pPr>
      <w:r>
        <w:rPr>
          <w:szCs w:val="21"/>
        </w:rPr>
        <w:fldChar w:fldCharType="begin"/>
      </w:r>
      <w:r>
        <w:rPr>
          <w:szCs w:val="21"/>
        </w:rPr>
        <w:instrText xml:space="preserve"> HYPERLINK \l _Toc19903 </w:instrText>
      </w:r>
      <w:r>
        <w:rPr>
          <w:szCs w:val="21"/>
        </w:rPr>
        <w:fldChar w:fldCharType="separate"/>
      </w:r>
      <w:r>
        <w:rPr>
          <w:rFonts w:hint="eastAsia" w:ascii="黑体" w:hAnsi="Times New Roman" w:eastAsia="黑体"/>
          <w:i w:val="0"/>
          <w:szCs w:val="21"/>
        </w:rPr>
        <w:t xml:space="preserve">2 </w:t>
      </w:r>
      <w:r>
        <w:rPr>
          <w:rFonts w:hint="eastAsia"/>
        </w:rPr>
        <w:t>基本要求</w:t>
      </w:r>
      <w:r>
        <w:tab/>
      </w:r>
      <w:r>
        <w:fldChar w:fldCharType="begin"/>
      </w:r>
      <w:r>
        <w:instrText xml:space="preserve"> PAGEREF _Toc19903 </w:instrText>
      </w:r>
      <w:r>
        <w:fldChar w:fldCharType="separate"/>
      </w:r>
      <w:r>
        <w:t>3</w:t>
      </w:r>
      <w:r>
        <w:fldChar w:fldCharType="end"/>
      </w:r>
      <w:r>
        <w:rPr>
          <w:szCs w:val="21"/>
        </w:rPr>
        <w:fldChar w:fldCharType="end"/>
      </w:r>
    </w:p>
    <w:p>
      <w:pPr>
        <w:pStyle w:val="2"/>
        <w:tabs>
          <w:tab w:val="right" w:leader="dot" w:pos="8306"/>
          <w:tab w:val="clear" w:pos="9241"/>
        </w:tabs>
      </w:pPr>
      <w:r>
        <w:rPr>
          <w:szCs w:val="21"/>
        </w:rPr>
        <w:fldChar w:fldCharType="begin"/>
      </w:r>
      <w:r>
        <w:rPr>
          <w:szCs w:val="21"/>
        </w:rPr>
        <w:instrText xml:space="preserve"> HYPERLINK \l _Toc19618 </w:instrText>
      </w:r>
      <w:r>
        <w:rPr>
          <w:szCs w:val="21"/>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2.1 </w:t>
      </w:r>
      <w:r>
        <w:rPr>
          <w:rFonts w:hint="eastAsia"/>
        </w:rPr>
        <w:t>全员落实</w:t>
      </w:r>
      <w:r>
        <w:tab/>
      </w:r>
      <w:r>
        <w:fldChar w:fldCharType="begin"/>
      </w:r>
      <w:r>
        <w:instrText xml:space="preserve"> PAGEREF _Toc19618 </w:instrText>
      </w:r>
      <w:r>
        <w:fldChar w:fldCharType="separate"/>
      </w:r>
      <w:r>
        <w:t>3</w:t>
      </w:r>
      <w:r>
        <w:fldChar w:fldCharType="end"/>
      </w:r>
      <w:r>
        <w:rPr>
          <w:szCs w:val="21"/>
        </w:rPr>
        <w:fldChar w:fldCharType="end"/>
      </w:r>
    </w:p>
    <w:p>
      <w:pPr>
        <w:pStyle w:val="2"/>
        <w:tabs>
          <w:tab w:val="right" w:leader="dot" w:pos="8306"/>
          <w:tab w:val="clear" w:pos="9241"/>
        </w:tabs>
      </w:pPr>
      <w:r>
        <w:rPr>
          <w:szCs w:val="21"/>
        </w:rPr>
        <w:fldChar w:fldCharType="begin"/>
      </w:r>
      <w:r>
        <w:rPr>
          <w:szCs w:val="21"/>
        </w:rPr>
        <w:instrText xml:space="preserve"> HYPERLINK \l _Toc32673 </w:instrText>
      </w:r>
      <w:r>
        <w:rPr>
          <w:szCs w:val="21"/>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2.2 </w:t>
      </w:r>
      <w:r>
        <w:rPr>
          <w:rFonts w:hint="eastAsia"/>
        </w:rPr>
        <w:t>安全管理一体化</w:t>
      </w:r>
      <w:r>
        <w:tab/>
      </w:r>
      <w:r>
        <w:fldChar w:fldCharType="begin"/>
      </w:r>
      <w:r>
        <w:instrText xml:space="preserve"> PAGEREF _Toc32673 </w:instrText>
      </w:r>
      <w:r>
        <w:fldChar w:fldCharType="separate"/>
      </w:r>
      <w:r>
        <w:t>4</w:t>
      </w:r>
      <w:r>
        <w:fldChar w:fldCharType="end"/>
      </w:r>
      <w:r>
        <w:rPr>
          <w:szCs w:val="21"/>
        </w:rPr>
        <w:fldChar w:fldCharType="end"/>
      </w:r>
    </w:p>
    <w:p>
      <w:pPr>
        <w:pStyle w:val="2"/>
        <w:tabs>
          <w:tab w:val="right" w:leader="dot" w:pos="8306"/>
          <w:tab w:val="clear" w:pos="9241"/>
        </w:tabs>
      </w:pPr>
      <w:r>
        <w:rPr>
          <w:szCs w:val="21"/>
        </w:rPr>
        <w:fldChar w:fldCharType="begin"/>
      </w:r>
      <w:r>
        <w:rPr>
          <w:szCs w:val="21"/>
        </w:rPr>
        <w:instrText xml:space="preserve"> HYPERLINK \l _Toc8544 </w:instrText>
      </w:r>
      <w:r>
        <w:rPr>
          <w:szCs w:val="21"/>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2.3 </w:t>
      </w:r>
      <w:r>
        <w:rPr>
          <w:rFonts w:hint="eastAsia"/>
        </w:rPr>
        <w:t>激励约束</w:t>
      </w:r>
      <w:r>
        <w:tab/>
      </w:r>
      <w:r>
        <w:fldChar w:fldCharType="begin"/>
      </w:r>
      <w:r>
        <w:instrText xml:space="preserve"> PAGEREF _Toc8544 </w:instrText>
      </w:r>
      <w:r>
        <w:fldChar w:fldCharType="separate"/>
      </w:r>
      <w:r>
        <w:t>4</w:t>
      </w:r>
      <w:r>
        <w:fldChar w:fldCharType="end"/>
      </w:r>
      <w:r>
        <w:rPr>
          <w:szCs w:val="21"/>
        </w:rPr>
        <w:fldChar w:fldCharType="end"/>
      </w:r>
    </w:p>
    <w:p>
      <w:pPr>
        <w:pStyle w:val="2"/>
        <w:tabs>
          <w:tab w:val="right" w:leader="dot" w:pos="8306"/>
          <w:tab w:val="clear" w:pos="9241"/>
        </w:tabs>
      </w:pPr>
      <w:r>
        <w:rPr>
          <w:szCs w:val="21"/>
        </w:rPr>
        <w:fldChar w:fldCharType="begin"/>
      </w:r>
      <w:r>
        <w:rPr>
          <w:szCs w:val="21"/>
        </w:rPr>
        <w:instrText xml:space="preserve"> HYPERLINK \l _Toc28384 </w:instrText>
      </w:r>
      <w:r>
        <w:rPr>
          <w:szCs w:val="21"/>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2.4 </w:t>
      </w:r>
      <w:r>
        <w:rPr>
          <w:rFonts w:hint="eastAsia"/>
        </w:rPr>
        <w:t>完善制度</w:t>
      </w:r>
      <w:r>
        <w:tab/>
      </w:r>
      <w:r>
        <w:fldChar w:fldCharType="begin"/>
      </w:r>
      <w:r>
        <w:instrText xml:space="preserve"> PAGEREF _Toc28384 </w:instrText>
      </w:r>
      <w:r>
        <w:fldChar w:fldCharType="separate"/>
      </w:r>
      <w:r>
        <w:t>4</w:t>
      </w:r>
      <w:r>
        <w:fldChar w:fldCharType="end"/>
      </w:r>
      <w:r>
        <w:rPr>
          <w:szCs w:val="21"/>
        </w:rPr>
        <w:fldChar w:fldCharType="end"/>
      </w:r>
    </w:p>
    <w:p>
      <w:pPr>
        <w:pStyle w:val="3"/>
        <w:tabs>
          <w:tab w:val="right" w:leader="dot" w:pos="8306"/>
          <w:tab w:val="clear" w:pos="9241"/>
        </w:tabs>
      </w:pPr>
      <w:r>
        <w:rPr>
          <w:szCs w:val="21"/>
        </w:rPr>
        <w:fldChar w:fldCharType="begin"/>
      </w:r>
      <w:r>
        <w:rPr>
          <w:szCs w:val="21"/>
        </w:rPr>
        <w:instrText xml:space="preserve"> HYPERLINK \l _Toc1371 </w:instrText>
      </w:r>
      <w:r>
        <w:rPr>
          <w:szCs w:val="21"/>
        </w:rPr>
        <w:fldChar w:fldCharType="separate"/>
      </w:r>
      <w:r>
        <w:rPr>
          <w:rFonts w:hint="eastAsia" w:ascii="黑体" w:hAnsi="Times New Roman" w:eastAsia="黑体"/>
          <w:i w:val="0"/>
          <w:szCs w:val="21"/>
        </w:rPr>
        <w:t xml:space="preserve">3 </w:t>
      </w:r>
      <w:r>
        <w:rPr>
          <w:rFonts w:hint="eastAsia"/>
        </w:rPr>
        <w:t>隐患分级与分类</w:t>
      </w:r>
      <w:r>
        <w:tab/>
      </w:r>
      <w:r>
        <w:fldChar w:fldCharType="begin"/>
      </w:r>
      <w:r>
        <w:instrText xml:space="preserve"> PAGEREF _Toc1371 </w:instrText>
      </w:r>
      <w:r>
        <w:fldChar w:fldCharType="separate"/>
      </w:r>
      <w:r>
        <w:t>5</w:t>
      </w:r>
      <w:r>
        <w:fldChar w:fldCharType="end"/>
      </w:r>
      <w:r>
        <w:rPr>
          <w:szCs w:val="21"/>
        </w:rPr>
        <w:fldChar w:fldCharType="end"/>
      </w:r>
    </w:p>
    <w:p>
      <w:pPr>
        <w:pStyle w:val="2"/>
        <w:tabs>
          <w:tab w:val="right" w:leader="dot" w:pos="8306"/>
          <w:tab w:val="clear" w:pos="9241"/>
        </w:tabs>
      </w:pPr>
      <w:r>
        <w:rPr>
          <w:szCs w:val="21"/>
        </w:rPr>
        <w:fldChar w:fldCharType="begin"/>
      </w:r>
      <w:r>
        <w:rPr>
          <w:szCs w:val="21"/>
        </w:rPr>
        <w:instrText xml:space="preserve"> HYPERLINK \l _Toc16232 </w:instrText>
      </w:r>
      <w:r>
        <w:rPr>
          <w:szCs w:val="21"/>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3.1 </w:t>
      </w:r>
      <w:r>
        <w:rPr>
          <w:rFonts w:hint="eastAsia"/>
        </w:rPr>
        <w:t>隐患分级</w:t>
      </w:r>
      <w:r>
        <w:tab/>
      </w:r>
      <w:r>
        <w:fldChar w:fldCharType="begin"/>
      </w:r>
      <w:r>
        <w:instrText xml:space="preserve"> PAGEREF _Toc16232 </w:instrText>
      </w:r>
      <w:r>
        <w:fldChar w:fldCharType="separate"/>
      </w:r>
      <w:r>
        <w:t>5</w:t>
      </w:r>
      <w:r>
        <w:fldChar w:fldCharType="end"/>
      </w:r>
      <w:r>
        <w:rPr>
          <w:szCs w:val="21"/>
        </w:rPr>
        <w:fldChar w:fldCharType="end"/>
      </w:r>
    </w:p>
    <w:p>
      <w:pPr>
        <w:pStyle w:val="2"/>
        <w:tabs>
          <w:tab w:val="right" w:leader="dot" w:pos="8306"/>
          <w:tab w:val="clear" w:pos="9241"/>
        </w:tabs>
      </w:pPr>
      <w:r>
        <w:rPr>
          <w:szCs w:val="21"/>
        </w:rPr>
        <w:fldChar w:fldCharType="begin"/>
      </w:r>
      <w:r>
        <w:rPr>
          <w:szCs w:val="21"/>
        </w:rPr>
        <w:instrText xml:space="preserve"> HYPERLINK \l _Toc27003 </w:instrText>
      </w:r>
      <w:r>
        <w:rPr>
          <w:szCs w:val="21"/>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3.2 </w:t>
      </w:r>
      <w:r>
        <w:rPr>
          <w:rFonts w:hint="eastAsia"/>
        </w:rPr>
        <w:t>隐患分类</w:t>
      </w:r>
      <w:r>
        <w:tab/>
      </w:r>
      <w:r>
        <w:fldChar w:fldCharType="begin"/>
      </w:r>
      <w:r>
        <w:instrText xml:space="preserve"> PAGEREF _Toc27003 </w:instrText>
      </w:r>
      <w:r>
        <w:fldChar w:fldCharType="separate"/>
      </w:r>
      <w:r>
        <w:t>5</w:t>
      </w:r>
      <w:r>
        <w:fldChar w:fldCharType="end"/>
      </w:r>
      <w:r>
        <w:rPr>
          <w:szCs w:val="21"/>
        </w:rPr>
        <w:fldChar w:fldCharType="end"/>
      </w:r>
    </w:p>
    <w:p>
      <w:pPr>
        <w:pStyle w:val="3"/>
        <w:tabs>
          <w:tab w:val="right" w:leader="dot" w:pos="8306"/>
          <w:tab w:val="clear" w:pos="9241"/>
        </w:tabs>
      </w:pPr>
      <w:r>
        <w:rPr>
          <w:szCs w:val="21"/>
        </w:rPr>
        <w:fldChar w:fldCharType="begin"/>
      </w:r>
      <w:r>
        <w:rPr>
          <w:szCs w:val="21"/>
        </w:rPr>
        <w:instrText xml:space="preserve"> HYPERLINK \l _Toc12416 </w:instrText>
      </w:r>
      <w:r>
        <w:rPr>
          <w:szCs w:val="21"/>
        </w:rPr>
        <w:fldChar w:fldCharType="separate"/>
      </w:r>
      <w:r>
        <w:rPr>
          <w:rFonts w:hint="eastAsia" w:ascii="黑体" w:hAnsi="Times New Roman" w:eastAsia="黑体"/>
          <w:i w:val="0"/>
          <w:szCs w:val="21"/>
        </w:rPr>
        <w:t xml:space="preserve">4 </w:t>
      </w:r>
      <w:r>
        <w:rPr>
          <w:rFonts w:hint="eastAsia"/>
        </w:rPr>
        <w:t>工作程序和内容</w:t>
      </w:r>
      <w:r>
        <w:tab/>
      </w:r>
      <w:r>
        <w:fldChar w:fldCharType="begin"/>
      </w:r>
      <w:r>
        <w:instrText xml:space="preserve"> PAGEREF _Toc12416 </w:instrText>
      </w:r>
      <w:r>
        <w:fldChar w:fldCharType="separate"/>
      </w:r>
      <w:r>
        <w:t>6</w:t>
      </w:r>
      <w:r>
        <w:fldChar w:fldCharType="end"/>
      </w:r>
      <w:r>
        <w:rPr>
          <w:szCs w:val="21"/>
        </w:rPr>
        <w:fldChar w:fldCharType="end"/>
      </w:r>
    </w:p>
    <w:p>
      <w:pPr>
        <w:pStyle w:val="2"/>
        <w:tabs>
          <w:tab w:val="right" w:leader="dot" w:pos="8306"/>
          <w:tab w:val="clear" w:pos="9241"/>
        </w:tabs>
      </w:pPr>
      <w:r>
        <w:rPr>
          <w:szCs w:val="21"/>
        </w:rPr>
        <w:fldChar w:fldCharType="begin"/>
      </w:r>
      <w:r>
        <w:rPr>
          <w:szCs w:val="21"/>
        </w:rPr>
        <w:instrText xml:space="preserve"> HYPERLINK \l _Toc25059 </w:instrText>
      </w:r>
      <w:r>
        <w:rPr>
          <w:szCs w:val="21"/>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4.1 </w:t>
      </w:r>
      <w:r>
        <w:rPr>
          <w:rFonts w:hint="eastAsia"/>
        </w:rPr>
        <w:t>编制排查项目清单</w:t>
      </w:r>
      <w:r>
        <w:tab/>
      </w:r>
      <w:r>
        <w:fldChar w:fldCharType="begin"/>
      </w:r>
      <w:r>
        <w:instrText xml:space="preserve"> PAGEREF _Toc25059 </w:instrText>
      </w:r>
      <w:r>
        <w:fldChar w:fldCharType="separate"/>
      </w:r>
      <w:r>
        <w:t>6</w:t>
      </w:r>
      <w:r>
        <w:fldChar w:fldCharType="end"/>
      </w:r>
      <w:r>
        <w:rPr>
          <w:szCs w:val="21"/>
        </w:rPr>
        <w:fldChar w:fldCharType="end"/>
      </w:r>
    </w:p>
    <w:p>
      <w:pPr>
        <w:pStyle w:val="2"/>
        <w:tabs>
          <w:tab w:val="right" w:leader="dot" w:pos="8306"/>
          <w:tab w:val="clear" w:pos="9241"/>
        </w:tabs>
      </w:pPr>
      <w:r>
        <w:rPr>
          <w:szCs w:val="21"/>
        </w:rPr>
        <w:fldChar w:fldCharType="begin"/>
      </w:r>
      <w:r>
        <w:rPr>
          <w:szCs w:val="21"/>
        </w:rPr>
        <w:instrText xml:space="preserve"> HYPERLINK \l _Toc30678 </w:instrText>
      </w:r>
      <w:r>
        <w:rPr>
          <w:szCs w:val="21"/>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4.2 </w:t>
      </w:r>
      <w:r>
        <w:rPr>
          <w:rFonts w:hint="eastAsia"/>
        </w:rPr>
        <w:t>制定排查计划</w:t>
      </w:r>
      <w:r>
        <w:tab/>
      </w:r>
      <w:r>
        <w:fldChar w:fldCharType="begin"/>
      </w:r>
      <w:r>
        <w:instrText xml:space="preserve"> PAGEREF _Toc30678 </w:instrText>
      </w:r>
      <w:r>
        <w:fldChar w:fldCharType="separate"/>
      </w:r>
      <w:r>
        <w:t>6</w:t>
      </w:r>
      <w:r>
        <w:fldChar w:fldCharType="end"/>
      </w:r>
      <w:r>
        <w:rPr>
          <w:szCs w:val="21"/>
        </w:rPr>
        <w:fldChar w:fldCharType="end"/>
      </w:r>
    </w:p>
    <w:p>
      <w:pPr>
        <w:pStyle w:val="2"/>
        <w:tabs>
          <w:tab w:val="right" w:leader="dot" w:pos="8306"/>
          <w:tab w:val="clear" w:pos="9241"/>
        </w:tabs>
      </w:pPr>
      <w:r>
        <w:rPr>
          <w:szCs w:val="21"/>
        </w:rPr>
        <w:fldChar w:fldCharType="begin"/>
      </w:r>
      <w:r>
        <w:rPr>
          <w:szCs w:val="21"/>
        </w:rPr>
        <w:instrText xml:space="preserve"> HYPERLINK \l _Toc16211 </w:instrText>
      </w:r>
      <w:r>
        <w:rPr>
          <w:szCs w:val="21"/>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4.3 </w:t>
      </w:r>
      <w:r>
        <w:rPr>
          <w:rFonts w:hint="eastAsia"/>
        </w:rPr>
        <w:t>隐患排查</w:t>
      </w:r>
      <w:r>
        <w:tab/>
      </w:r>
      <w:r>
        <w:fldChar w:fldCharType="begin"/>
      </w:r>
      <w:r>
        <w:instrText xml:space="preserve"> PAGEREF _Toc16211 </w:instrText>
      </w:r>
      <w:r>
        <w:fldChar w:fldCharType="separate"/>
      </w:r>
      <w:r>
        <w:t>7</w:t>
      </w:r>
      <w:r>
        <w:fldChar w:fldCharType="end"/>
      </w:r>
      <w:r>
        <w:rPr>
          <w:szCs w:val="21"/>
        </w:rPr>
        <w:fldChar w:fldCharType="end"/>
      </w:r>
    </w:p>
    <w:p>
      <w:pPr>
        <w:pStyle w:val="2"/>
        <w:tabs>
          <w:tab w:val="right" w:leader="dot" w:pos="8306"/>
          <w:tab w:val="clear" w:pos="9241"/>
        </w:tabs>
      </w:pPr>
      <w:r>
        <w:rPr>
          <w:szCs w:val="21"/>
        </w:rPr>
        <w:fldChar w:fldCharType="begin"/>
      </w:r>
      <w:r>
        <w:rPr>
          <w:szCs w:val="21"/>
        </w:rPr>
        <w:instrText xml:space="preserve"> HYPERLINK \l _Toc30157 </w:instrText>
      </w:r>
      <w:r>
        <w:rPr>
          <w:szCs w:val="21"/>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4.4 </w:t>
      </w:r>
      <w:r>
        <w:rPr>
          <w:rFonts w:hint="eastAsia"/>
        </w:rPr>
        <w:t>隐患治理</w:t>
      </w:r>
      <w:r>
        <w:tab/>
      </w:r>
      <w:r>
        <w:fldChar w:fldCharType="begin"/>
      </w:r>
      <w:r>
        <w:instrText xml:space="preserve"> PAGEREF _Toc30157 </w:instrText>
      </w:r>
      <w:r>
        <w:fldChar w:fldCharType="separate"/>
      </w:r>
      <w:r>
        <w:t>9</w:t>
      </w:r>
      <w:r>
        <w:fldChar w:fldCharType="end"/>
      </w:r>
      <w:r>
        <w:rPr>
          <w:szCs w:val="21"/>
        </w:rPr>
        <w:fldChar w:fldCharType="end"/>
      </w:r>
    </w:p>
    <w:p>
      <w:pPr>
        <w:pStyle w:val="3"/>
        <w:tabs>
          <w:tab w:val="right" w:leader="dot" w:pos="8306"/>
          <w:tab w:val="clear" w:pos="9241"/>
        </w:tabs>
      </w:pPr>
      <w:r>
        <w:rPr>
          <w:szCs w:val="21"/>
        </w:rPr>
        <w:fldChar w:fldCharType="begin"/>
      </w:r>
      <w:r>
        <w:rPr>
          <w:szCs w:val="21"/>
        </w:rPr>
        <w:instrText xml:space="preserve"> HYPERLINK \l _Toc28864 </w:instrText>
      </w:r>
      <w:r>
        <w:rPr>
          <w:szCs w:val="21"/>
        </w:rPr>
        <w:fldChar w:fldCharType="separate"/>
      </w:r>
      <w:r>
        <w:rPr>
          <w:rFonts w:hint="eastAsia" w:ascii="黑体" w:hAnsi="Times New Roman" w:eastAsia="黑体"/>
          <w:i w:val="0"/>
          <w:szCs w:val="21"/>
        </w:rPr>
        <w:t xml:space="preserve">5 </w:t>
      </w:r>
      <w:r>
        <w:rPr>
          <w:rFonts w:hint="eastAsia"/>
        </w:rPr>
        <w:t>文件管理</w:t>
      </w:r>
      <w:r>
        <w:tab/>
      </w:r>
      <w:r>
        <w:fldChar w:fldCharType="begin"/>
      </w:r>
      <w:r>
        <w:instrText xml:space="preserve"> PAGEREF _Toc28864 </w:instrText>
      </w:r>
      <w:r>
        <w:fldChar w:fldCharType="separate"/>
      </w:r>
      <w:r>
        <w:t>10</w:t>
      </w:r>
      <w:r>
        <w:fldChar w:fldCharType="end"/>
      </w:r>
      <w:r>
        <w:rPr>
          <w:szCs w:val="21"/>
        </w:rPr>
        <w:fldChar w:fldCharType="end"/>
      </w:r>
    </w:p>
    <w:p>
      <w:pPr>
        <w:pStyle w:val="3"/>
        <w:tabs>
          <w:tab w:val="right" w:leader="dot" w:pos="8306"/>
          <w:tab w:val="clear" w:pos="9241"/>
        </w:tabs>
      </w:pPr>
      <w:r>
        <w:rPr>
          <w:szCs w:val="21"/>
        </w:rPr>
        <w:fldChar w:fldCharType="begin"/>
      </w:r>
      <w:r>
        <w:rPr>
          <w:szCs w:val="21"/>
        </w:rPr>
        <w:instrText xml:space="preserve"> HYPERLINK \l _Toc5427 </w:instrText>
      </w:r>
      <w:r>
        <w:rPr>
          <w:szCs w:val="21"/>
        </w:rPr>
        <w:fldChar w:fldCharType="separate"/>
      </w:r>
      <w:r>
        <w:rPr>
          <w:rFonts w:hint="eastAsia" w:ascii="黑体" w:hAnsi="Times New Roman" w:eastAsia="黑体"/>
          <w:i w:val="0"/>
          <w:szCs w:val="21"/>
        </w:rPr>
        <w:t xml:space="preserve">6 </w:t>
      </w:r>
      <w:r>
        <w:rPr>
          <w:rFonts w:hint="eastAsia"/>
        </w:rPr>
        <w:t>隐患排查治理效果</w:t>
      </w:r>
      <w:r>
        <w:tab/>
      </w:r>
      <w:r>
        <w:fldChar w:fldCharType="begin"/>
      </w:r>
      <w:r>
        <w:instrText xml:space="preserve"> PAGEREF _Toc5427 </w:instrText>
      </w:r>
      <w:r>
        <w:fldChar w:fldCharType="separate"/>
      </w:r>
      <w:r>
        <w:t>10</w:t>
      </w:r>
      <w:r>
        <w:fldChar w:fldCharType="end"/>
      </w:r>
      <w:r>
        <w:rPr>
          <w:szCs w:val="21"/>
        </w:rPr>
        <w:fldChar w:fldCharType="end"/>
      </w:r>
    </w:p>
    <w:p>
      <w:pPr>
        <w:pStyle w:val="3"/>
        <w:tabs>
          <w:tab w:val="right" w:leader="dot" w:pos="8306"/>
          <w:tab w:val="clear" w:pos="9241"/>
        </w:tabs>
      </w:pPr>
      <w:r>
        <w:rPr>
          <w:szCs w:val="21"/>
        </w:rPr>
        <w:fldChar w:fldCharType="begin"/>
      </w:r>
      <w:r>
        <w:rPr>
          <w:szCs w:val="21"/>
        </w:rPr>
        <w:instrText xml:space="preserve"> HYPERLINK \l _Toc22183 </w:instrText>
      </w:r>
      <w:r>
        <w:rPr>
          <w:szCs w:val="21"/>
        </w:rPr>
        <w:fldChar w:fldCharType="separate"/>
      </w:r>
      <w:r>
        <w:rPr>
          <w:rFonts w:hint="eastAsia" w:ascii="黑体" w:hAnsi="Times New Roman" w:eastAsia="黑体"/>
          <w:i w:val="0"/>
          <w:szCs w:val="21"/>
        </w:rPr>
        <w:t xml:space="preserve">7 </w:t>
      </w:r>
      <w:r>
        <w:rPr>
          <w:rFonts w:hint="eastAsia"/>
        </w:rPr>
        <w:t>持续改进</w:t>
      </w:r>
      <w:r>
        <w:tab/>
      </w:r>
      <w:r>
        <w:fldChar w:fldCharType="begin"/>
      </w:r>
      <w:r>
        <w:instrText xml:space="preserve"> PAGEREF _Toc22183 </w:instrText>
      </w:r>
      <w:r>
        <w:fldChar w:fldCharType="separate"/>
      </w:r>
      <w:r>
        <w:t>10</w:t>
      </w:r>
      <w:r>
        <w:fldChar w:fldCharType="end"/>
      </w:r>
      <w:r>
        <w:rPr>
          <w:szCs w:val="21"/>
        </w:rPr>
        <w:fldChar w:fldCharType="end"/>
      </w:r>
    </w:p>
    <w:p>
      <w:pPr>
        <w:pStyle w:val="8"/>
        <w:rPr>
          <w:rFonts w:hint="eastAsia"/>
        </w:rPr>
      </w:pPr>
      <w:r>
        <w:rPr>
          <w:szCs w:val="21"/>
        </w:rPr>
        <w:fldChar w:fldCharType="end"/>
      </w:r>
    </w:p>
    <w:bookmarkEnd w:id="0"/>
    <w:bookmarkEnd w:id="1"/>
    <w:p>
      <w:pPr>
        <w:pStyle w:val="8"/>
        <w:rPr>
          <w:rFonts w:hint="eastAsia"/>
        </w:rPr>
      </w:pPr>
      <w:bookmarkStart w:id="3" w:name="BKYY"/>
    </w:p>
    <w:bookmarkEnd w:id="3"/>
    <w:p>
      <w:pPr>
        <w:pStyle w:val="13"/>
        <w:rPr>
          <w:rFonts w:hint="eastAsia" w:eastAsia="黑体"/>
          <w:lang w:eastAsia="zh-CN"/>
        </w:rPr>
      </w:pPr>
      <w:r>
        <w:rPr>
          <w:rFonts w:hint="eastAsia"/>
        </w:rPr>
        <w:t>生产安全事故隐患排查治理体系</w:t>
      </w:r>
      <w:r>
        <w:rPr>
          <w:rFonts w:hint="eastAsia"/>
          <w:lang w:eastAsia="zh-CN"/>
        </w:rPr>
        <w:t>建设作业指导书</w:t>
      </w:r>
    </w:p>
    <w:p>
      <w:pPr>
        <w:pStyle w:val="7"/>
        <w:numPr>
          <w:numId w:val="0"/>
        </w:numPr>
        <w:ind w:leftChars="0"/>
        <w:rPr>
          <w:rFonts w:hint="eastAsia"/>
        </w:rPr>
      </w:pPr>
      <w:bookmarkStart w:id="4" w:name="_Toc479927999"/>
      <w:bookmarkStart w:id="5" w:name="_Toc479927945"/>
      <w:bookmarkStart w:id="6" w:name="_Toc481293237"/>
      <w:bookmarkStart w:id="7" w:name="_Toc30965"/>
      <w:bookmarkStart w:id="8" w:name="_Toc479928489"/>
      <w:bookmarkStart w:id="9" w:name="_Toc481293771"/>
      <w:r>
        <w:rPr>
          <w:rFonts w:hint="eastAsia"/>
          <w:lang w:val="en-US" w:eastAsia="zh-CN"/>
        </w:rPr>
        <w:t>1</w:t>
      </w:r>
      <w:r>
        <w:rPr>
          <w:rFonts w:hint="eastAsia"/>
        </w:rPr>
        <w:t>范围</w:t>
      </w:r>
      <w:bookmarkEnd w:id="4"/>
      <w:bookmarkEnd w:id="5"/>
      <w:bookmarkEnd w:id="6"/>
      <w:bookmarkEnd w:id="7"/>
      <w:bookmarkEnd w:id="8"/>
      <w:bookmarkEnd w:id="9"/>
    </w:p>
    <w:p>
      <w:pPr>
        <w:pStyle w:val="8"/>
        <w:spacing w:beforeLines="50" w:afterLines="50"/>
        <w:rPr>
          <w:rFonts w:hint="eastAsia"/>
        </w:rPr>
      </w:pPr>
      <w:r>
        <w:rPr>
          <w:rFonts w:hint="eastAsia"/>
        </w:rPr>
        <w:t>本标准规定了</w:t>
      </w:r>
      <w:r>
        <w:rPr>
          <w:rFonts w:hint="eastAsia"/>
          <w:lang w:eastAsia="zh-CN"/>
        </w:rPr>
        <w:t>XXXX公司</w:t>
      </w:r>
      <w:r>
        <w:rPr>
          <w:rFonts w:hint="eastAsia"/>
        </w:rPr>
        <w:t>生产安全事故隐患排查治理体系建设的术语和定义、总则、隐患分级和分类、工作程序和内容、文件管理、隐患排查的效果、持续改进等。</w:t>
      </w:r>
    </w:p>
    <w:p>
      <w:pPr>
        <w:pStyle w:val="8"/>
        <w:spacing w:beforeLines="50" w:afterLines="50"/>
        <w:rPr>
          <w:rFonts w:hint="eastAsia"/>
        </w:rPr>
      </w:pPr>
      <w:r>
        <w:rPr>
          <w:rFonts w:hint="eastAsia"/>
        </w:rPr>
        <w:t>本标准适用于</w:t>
      </w:r>
      <w:r>
        <w:rPr>
          <w:rFonts w:hint="eastAsia"/>
          <w:lang w:eastAsia="zh-CN"/>
        </w:rPr>
        <w:t>XXXX公司</w:t>
      </w:r>
      <w:r>
        <w:rPr>
          <w:rFonts w:hint="eastAsia"/>
        </w:rPr>
        <w:t>事故隐患排查治理体系的建设和实施指南的编制。</w:t>
      </w:r>
    </w:p>
    <w:p>
      <w:pPr>
        <w:pStyle w:val="7"/>
        <w:numPr>
          <w:numId w:val="0"/>
        </w:numPr>
        <w:ind w:leftChars="0"/>
        <w:rPr>
          <w:rFonts w:hint="eastAsia"/>
        </w:rPr>
      </w:pPr>
      <w:bookmarkStart w:id="10" w:name="_Toc479927948"/>
      <w:bookmarkStart w:id="11" w:name="_Toc481293774"/>
      <w:bookmarkStart w:id="12" w:name="_Toc481293240"/>
      <w:bookmarkStart w:id="13" w:name="_Toc19903"/>
      <w:bookmarkStart w:id="14" w:name="_Toc479928492"/>
      <w:bookmarkStart w:id="15" w:name="_Toc479928002"/>
      <w:r>
        <w:rPr>
          <w:rFonts w:hint="eastAsia"/>
          <w:lang w:val="en-US" w:eastAsia="zh-CN"/>
        </w:rPr>
        <w:t>2</w:t>
      </w:r>
      <w:r>
        <w:rPr>
          <w:rFonts w:hint="eastAsia"/>
        </w:rPr>
        <w:t>基本要求</w:t>
      </w:r>
      <w:bookmarkEnd w:id="10"/>
      <w:bookmarkEnd w:id="11"/>
      <w:bookmarkEnd w:id="12"/>
      <w:bookmarkEnd w:id="13"/>
      <w:bookmarkEnd w:id="14"/>
      <w:bookmarkEnd w:id="15"/>
    </w:p>
    <w:p>
      <w:pPr>
        <w:pStyle w:val="8"/>
        <w:spacing w:beforeLines="50" w:afterLines="50"/>
      </w:pPr>
      <w:r>
        <w:rPr>
          <w:rFonts w:hint="eastAsia"/>
        </w:rPr>
        <w:t>企业应当依照法律、法规和相关规章、标准为准绳，以风险为关注点，建立以风险为核心的隐患分级排查和分级治理的安全管控模式，形成全员、全过程、全方位的立体综合隐患排查治理体系，从而达到控制企业安全风险特别是重大安全风险的目的。</w:t>
      </w:r>
    </w:p>
    <w:p>
      <w:pPr>
        <w:pStyle w:val="9"/>
        <w:numPr>
          <w:numId w:val="0"/>
        </w:numPr>
        <w:ind w:leftChars="0"/>
        <w:rPr>
          <w:rFonts w:hint="eastAsia"/>
        </w:rPr>
      </w:pPr>
      <w:bookmarkStart w:id="16" w:name="_Toc479928003"/>
      <w:bookmarkStart w:id="17" w:name="_Toc479927949"/>
      <w:bookmarkStart w:id="18" w:name="_Toc481293241"/>
      <w:bookmarkStart w:id="19" w:name="_Toc481293775"/>
      <w:bookmarkStart w:id="20" w:name="_Toc19618"/>
      <w:bookmarkStart w:id="21" w:name="_Toc481126028"/>
      <w:r>
        <w:rPr>
          <w:rFonts w:hint="eastAsia"/>
          <w:lang w:val="en-US" w:eastAsia="zh-CN"/>
        </w:rPr>
        <w:t>2.1</w:t>
      </w:r>
      <w:r>
        <w:rPr>
          <w:rFonts w:hint="eastAsia"/>
        </w:rPr>
        <w:t>全员落实</w:t>
      </w:r>
      <w:bookmarkEnd w:id="16"/>
      <w:bookmarkEnd w:id="17"/>
      <w:bookmarkEnd w:id="18"/>
      <w:bookmarkEnd w:id="19"/>
      <w:bookmarkEnd w:id="20"/>
      <w:bookmarkEnd w:id="21"/>
    </w:p>
    <w:p>
      <w:pPr>
        <w:pStyle w:val="8"/>
        <w:spacing w:beforeLines="50" w:afterLines="50"/>
      </w:pPr>
      <w:r>
        <w:rPr>
          <w:rFonts w:hint="eastAsia"/>
        </w:rPr>
        <w:t>企业应从基层操作人员到最高管理层，都要参与隐患排查治理。企业主要负责人作为本单位事故隐患排查治理体系建设的第一责任人，应保证隐患排查治理的资源投入，其他人员应负责职责范围内的隐患排查治理工作，以确保隐患得到治理。企业应成立以主要负责人为组长的隐患排查治理体系领导机构，成员包括分管领导、部门负责人、负责人，领导机构负责统筹体系建设的计划制定、人员配置、财务资源等事项，负责指导和协调体系建设、实施的各项工作。</w:t>
      </w:r>
    </w:p>
    <w:p>
      <w:pPr>
        <w:pStyle w:val="10"/>
        <w:numPr>
          <w:numId w:val="0"/>
        </w:numPr>
        <w:spacing w:before="156" w:after="156"/>
        <w:rPr>
          <w:rFonts w:hint="eastAsia"/>
        </w:rPr>
      </w:pPr>
      <w:r>
        <w:rPr>
          <w:rFonts w:hint="eastAsia"/>
          <w:lang w:val="en-US" w:eastAsia="zh-CN"/>
        </w:rPr>
        <w:t>2.1.1</w:t>
      </w:r>
      <w:r>
        <w:rPr>
          <w:rFonts w:hint="eastAsia"/>
        </w:rPr>
        <w:t>主要负责人职责</w:t>
      </w:r>
    </w:p>
    <w:p>
      <w:pPr>
        <w:pStyle w:val="8"/>
        <w:spacing w:beforeLines="50" w:afterLines="50"/>
        <w:rPr>
          <w:rFonts w:hint="eastAsia"/>
        </w:rPr>
      </w:pPr>
      <w:r>
        <w:rPr>
          <w:rFonts w:hint="eastAsia"/>
        </w:rPr>
        <w:t>（1）企业总经理是隐患排查治理体系的主要负责人，对体系的有效性应承担责任。</w:t>
      </w:r>
    </w:p>
    <w:p>
      <w:pPr>
        <w:pStyle w:val="8"/>
        <w:spacing w:beforeLines="50" w:afterLines="50"/>
        <w:rPr>
          <w:rFonts w:hint="eastAsia"/>
        </w:rPr>
      </w:pPr>
      <w:r>
        <w:rPr>
          <w:rFonts w:hint="eastAsia"/>
        </w:rPr>
        <w:t>（2）确保可获得建立、实施、保持和改善隐患排查治理体系所需的资源。</w:t>
      </w:r>
    </w:p>
    <w:p>
      <w:pPr>
        <w:pStyle w:val="8"/>
        <w:spacing w:beforeLines="50" w:afterLines="50"/>
        <w:rPr>
          <w:rFonts w:hint="eastAsia"/>
        </w:rPr>
      </w:pPr>
      <w:r>
        <w:rPr>
          <w:rFonts w:hint="eastAsia"/>
        </w:rPr>
        <w:t>（3）明确涉及各部门、各岗位安全职责，确保全员参与隐患排查治理。</w:t>
      </w:r>
    </w:p>
    <w:p>
      <w:pPr>
        <w:pStyle w:val="8"/>
        <w:spacing w:beforeLines="50" w:afterLines="50"/>
        <w:rPr>
          <w:rFonts w:hint="eastAsia"/>
        </w:rPr>
      </w:pPr>
      <w:r>
        <w:rPr>
          <w:rFonts w:hint="eastAsia"/>
        </w:rPr>
        <w:t>（4）组织对重要危险源隐患情况进行监督监控，并掌握风险分析、产生后果、控制措施及可能存在的隐患。</w:t>
      </w:r>
    </w:p>
    <w:p>
      <w:pPr>
        <w:pStyle w:val="8"/>
        <w:spacing w:beforeLines="50" w:afterLines="50"/>
        <w:rPr>
          <w:rFonts w:hint="eastAsia"/>
        </w:rPr>
      </w:pPr>
      <w:r>
        <w:rPr>
          <w:rFonts w:hint="eastAsia"/>
        </w:rPr>
        <w:t>（5）审批企业上报的重大事故隐患和隐患治理资金，对隐患治理工作组织实施。</w:t>
      </w:r>
    </w:p>
    <w:p>
      <w:pPr>
        <w:pStyle w:val="8"/>
        <w:spacing w:beforeLines="50" w:afterLines="50"/>
        <w:rPr>
          <w:rFonts w:hint="eastAsia"/>
        </w:rPr>
      </w:pPr>
      <w:r>
        <w:rPr>
          <w:rFonts w:hint="eastAsia"/>
        </w:rPr>
        <w:t>（6）确保全员参与隐患排查治理，确保小组其他成员履行职责。</w:t>
      </w:r>
    </w:p>
    <w:p>
      <w:pPr>
        <w:pStyle w:val="10"/>
        <w:numPr>
          <w:numId w:val="0"/>
        </w:numPr>
        <w:spacing w:before="156" w:after="156"/>
        <w:rPr>
          <w:rFonts w:hint="eastAsia"/>
        </w:rPr>
      </w:pPr>
      <w:r>
        <w:rPr>
          <w:rFonts w:hint="eastAsia"/>
          <w:lang w:val="en-US" w:eastAsia="zh-CN"/>
        </w:rPr>
        <w:t>2.1.2</w:t>
      </w:r>
      <w:r>
        <w:rPr>
          <w:rFonts w:hint="eastAsia"/>
        </w:rPr>
        <w:t>安全部门职责</w:t>
      </w:r>
    </w:p>
    <w:p>
      <w:pPr>
        <w:pStyle w:val="8"/>
        <w:spacing w:beforeLines="50" w:afterLines="50"/>
        <w:rPr>
          <w:rFonts w:hint="eastAsia"/>
        </w:rPr>
      </w:pPr>
      <w:r>
        <w:rPr>
          <w:rFonts w:hint="eastAsia"/>
        </w:rPr>
        <w:t>（1）主要负责起草隐患排查治理体系建设工作方案和有关文件，协调各专业工作组分工任务开展情况，并及时向领导汇报。掌握二级以上风险分布情况、可能产生的后果、控制措施及可能存在的事故隐患。</w:t>
      </w:r>
    </w:p>
    <w:p>
      <w:pPr>
        <w:pStyle w:val="8"/>
        <w:spacing w:beforeLines="50" w:afterLines="50"/>
        <w:rPr>
          <w:rFonts w:hint="eastAsia"/>
        </w:rPr>
      </w:pPr>
      <w:r>
        <w:rPr>
          <w:rFonts w:hint="eastAsia"/>
        </w:rPr>
        <w:t>（2）负责标准的组织实施、指导和监督检查及隐患排查工作的开展。</w:t>
      </w:r>
    </w:p>
    <w:p>
      <w:pPr>
        <w:pStyle w:val="8"/>
        <w:spacing w:beforeLines="50" w:afterLines="50"/>
        <w:rPr>
          <w:rFonts w:hint="eastAsia"/>
        </w:rPr>
      </w:pPr>
      <w:r>
        <w:rPr>
          <w:rFonts w:hint="eastAsia"/>
        </w:rPr>
        <w:t>（3）负责制定《安全生产隐患排查计划》，组织或督促各级人员按计划开展事故隐患排查治理，监督、检查事故隐患治理和措施落实情况。</w:t>
      </w:r>
    </w:p>
    <w:p>
      <w:pPr>
        <w:pStyle w:val="8"/>
        <w:spacing w:beforeLines="50" w:afterLines="50"/>
        <w:rPr>
          <w:rFonts w:hint="eastAsia"/>
        </w:rPr>
      </w:pPr>
      <w:r>
        <w:rPr>
          <w:rFonts w:hint="eastAsia"/>
        </w:rPr>
        <w:t>（4）负责事故隐患的收集归档，定期向企业领导汇报事故隐患整改进展情况，并对事故隐患排查治理实施过程进行督查、考核等工作。</w:t>
      </w:r>
    </w:p>
    <w:p>
      <w:pPr>
        <w:pStyle w:val="8"/>
        <w:spacing w:beforeLines="50" w:afterLines="50"/>
        <w:rPr>
          <w:rFonts w:hint="eastAsia"/>
        </w:rPr>
      </w:pPr>
      <w:r>
        <w:rPr>
          <w:rFonts w:hint="eastAsia"/>
        </w:rPr>
        <w:t>（5）安全生产隐患排查中发现的危及人身安全的重大事故隐患或紧急情况，立即下达停产、停工处理指令，不得违章指挥，做好生产平衡工作，调整运行方式及时安排时间进行解决。同时组织制定相应的应急措施监督实施。</w:t>
      </w:r>
    </w:p>
    <w:p>
      <w:pPr>
        <w:pStyle w:val="10"/>
        <w:numPr>
          <w:numId w:val="0"/>
        </w:numPr>
        <w:spacing w:before="156" w:after="156"/>
        <w:rPr>
          <w:rFonts w:hint="eastAsia"/>
        </w:rPr>
      </w:pPr>
      <w:r>
        <w:rPr>
          <w:rFonts w:hint="eastAsia"/>
          <w:lang w:val="en-US" w:eastAsia="zh-CN"/>
        </w:rPr>
        <w:t>2.1.3</w:t>
      </w:r>
      <w:r>
        <w:rPr>
          <w:rFonts w:hint="eastAsia"/>
        </w:rPr>
        <w:t>专业部门职责</w:t>
      </w:r>
    </w:p>
    <w:p>
      <w:pPr>
        <w:pStyle w:val="8"/>
        <w:spacing w:beforeLines="50" w:afterLines="50"/>
        <w:rPr>
          <w:rFonts w:hint="eastAsia"/>
        </w:rPr>
      </w:pPr>
      <w:r>
        <w:rPr>
          <w:rFonts w:hint="eastAsia"/>
        </w:rPr>
        <w:t>各专业管理部门按专业职责，检查、督促、协调本专业重大事故隐患的整改工作，负责落实重大事故隐患挂牌督办工作。掌握三级以上风险分布情况、可能产生的后果、管理控制措施及可能存在的隐患。</w:t>
      </w:r>
    </w:p>
    <w:p>
      <w:pPr>
        <w:pStyle w:val="10"/>
        <w:numPr>
          <w:numId w:val="0"/>
        </w:numPr>
        <w:spacing w:before="156" w:after="156"/>
        <w:rPr>
          <w:rFonts w:hint="eastAsia"/>
        </w:rPr>
      </w:pPr>
      <w:r>
        <w:rPr>
          <w:rFonts w:hint="eastAsia"/>
          <w:lang w:val="en-US" w:eastAsia="zh-CN"/>
        </w:rPr>
        <w:t>2.1.4</w:t>
      </w:r>
      <w:r>
        <w:rPr>
          <w:rFonts w:hint="eastAsia"/>
        </w:rPr>
        <w:t>生产车间职责</w:t>
      </w:r>
    </w:p>
    <w:p>
      <w:pPr>
        <w:pStyle w:val="8"/>
        <w:spacing w:beforeLines="50" w:afterLines="50"/>
        <w:rPr>
          <w:rFonts w:hint="eastAsia"/>
        </w:rPr>
      </w:pPr>
      <w:r>
        <w:rPr>
          <w:rFonts w:hint="eastAsia"/>
        </w:rPr>
        <w:t>（1）各生产车间是事故隐患排查治理的责任主体，掌握三级以上风险分布情况、可能后果、典型控制措施及可能存在的隐患。</w:t>
      </w:r>
    </w:p>
    <w:p>
      <w:pPr>
        <w:pStyle w:val="8"/>
        <w:spacing w:beforeLines="50" w:afterLines="50"/>
        <w:rPr>
          <w:rFonts w:hint="eastAsia"/>
        </w:rPr>
      </w:pPr>
      <w:r>
        <w:rPr>
          <w:rFonts w:hint="eastAsia"/>
        </w:rPr>
        <w:t>（2）具体负责所辖范围内各类事故隐患的排查治理，负责组织一般事故隐患的评估，并对自行管理的事故隐患进行整改、验证等工作。</w:t>
      </w:r>
    </w:p>
    <w:p>
      <w:pPr>
        <w:pStyle w:val="8"/>
        <w:spacing w:beforeLines="50" w:afterLines="50"/>
        <w:rPr>
          <w:rFonts w:hint="eastAsia"/>
        </w:rPr>
      </w:pPr>
      <w:r>
        <w:rPr>
          <w:rFonts w:hint="eastAsia"/>
        </w:rPr>
        <w:t>（3）对本车间三级以上危险源进行检查，督促所属班组严格对四级以上风险进行检查。</w:t>
      </w:r>
    </w:p>
    <w:p>
      <w:pPr>
        <w:pStyle w:val="10"/>
        <w:numPr>
          <w:numId w:val="0"/>
        </w:numPr>
        <w:spacing w:before="156" w:after="156"/>
        <w:rPr>
          <w:rFonts w:hint="eastAsia"/>
        </w:rPr>
      </w:pPr>
      <w:r>
        <w:rPr>
          <w:rFonts w:hint="eastAsia"/>
          <w:lang w:val="en-US" w:eastAsia="zh-CN"/>
        </w:rPr>
        <w:t>2.1.5</w:t>
      </w:r>
      <w:r>
        <w:rPr>
          <w:rFonts w:hint="eastAsia"/>
        </w:rPr>
        <w:t>班组、岗位人员职责</w:t>
      </w:r>
    </w:p>
    <w:p>
      <w:pPr>
        <w:pStyle w:val="8"/>
        <w:spacing w:beforeLines="50" w:afterLines="50"/>
        <w:rPr>
          <w:rFonts w:hint="eastAsia"/>
        </w:rPr>
      </w:pPr>
      <w:r>
        <w:rPr>
          <w:rFonts w:hint="eastAsia"/>
        </w:rPr>
        <w:t>班组、岗位人员应掌握本岗位涉及的风险分布情况、风险后果、可能存在的隐患及典型控制措施等相关知识。</w:t>
      </w:r>
    </w:p>
    <w:p>
      <w:pPr>
        <w:pStyle w:val="8"/>
        <w:spacing w:beforeLines="50" w:afterLines="50"/>
        <w:rPr>
          <w:rFonts w:hint="eastAsia"/>
        </w:rPr>
      </w:pPr>
      <w:r>
        <w:rPr>
          <w:rFonts w:hint="eastAsia"/>
        </w:rPr>
        <w:t>（1）熟悉班组、岗位作业有关危险源的检查控制内容，当班检查控制情况，杜绝弄虚作假现象。</w:t>
      </w:r>
    </w:p>
    <w:p>
      <w:pPr>
        <w:pStyle w:val="8"/>
        <w:spacing w:beforeLines="50" w:afterLines="50"/>
        <w:rPr>
          <w:rFonts w:hint="eastAsia"/>
        </w:rPr>
      </w:pPr>
      <w:r>
        <w:rPr>
          <w:rFonts w:hint="eastAsia"/>
        </w:rPr>
        <w:t>（2）发现隐患应立即上报，并协助整改，若不能及时整改，则采取临时措施避免事故发生。</w:t>
      </w:r>
    </w:p>
    <w:p>
      <w:pPr>
        <w:pStyle w:val="8"/>
        <w:spacing w:beforeLines="50" w:afterLines="50"/>
      </w:pPr>
      <w:r>
        <w:rPr>
          <w:rFonts w:hint="eastAsia"/>
        </w:rPr>
        <w:t>（3）在危险源检查、信息反馈、事故隐患整改、采取临时措施等方面延误或弄虚作假，造成危险源失控或由此而发生的各类事故承担责任。</w:t>
      </w:r>
    </w:p>
    <w:p>
      <w:pPr>
        <w:pStyle w:val="9"/>
        <w:numPr>
          <w:numId w:val="0"/>
        </w:numPr>
        <w:ind w:leftChars="0"/>
        <w:rPr>
          <w:rFonts w:hint="eastAsia"/>
        </w:rPr>
      </w:pPr>
      <w:bookmarkStart w:id="22" w:name="_Toc479928004"/>
      <w:bookmarkStart w:id="23" w:name="_Toc481293242"/>
      <w:bookmarkStart w:id="24" w:name="_Toc481293776"/>
      <w:bookmarkStart w:id="25" w:name="_Toc479927950"/>
      <w:bookmarkStart w:id="26" w:name="_Toc32673"/>
      <w:bookmarkStart w:id="27" w:name="_Toc481126029"/>
      <w:r>
        <w:rPr>
          <w:rFonts w:hint="eastAsia"/>
          <w:lang w:val="en-US" w:eastAsia="zh-CN"/>
        </w:rPr>
        <w:t>2.2</w:t>
      </w:r>
      <w:r>
        <w:rPr>
          <w:rFonts w:hint="eastAsia"/>
        </w:rPr>
        <w:t>安全管理一体化</w:t>
      </w:r>
      <w:bookmarkEnd w:id="22"/>
      <w:bookmarkEnd w:id="23"/>
      <w:bookmarkEnd w:id="24"/>
      <w:bookmarkEnd w:id="25"/>
      <w:bookmarkEnd w:id="26"/>
      <w:bookmarkEnd w:id="27"/>
    </w:p>
    <w:p>
      <w:pPr>
        <w:pStyle w:val="8"/>
        <w:spacing w:beforeLines="50" w:afterLines="50"/>
        <w:rPr>
          <w:rFonts w:hint="eastAsia"/>
        </w:rPr>
      </w:pPr>
      <w:bookmarkStart w:id="28" w:name="_Toc479927951"/>
      <w:bookmarkStart w:id="29" w:name="_Toc479928005"/>
      <w:bookmarkStart w:id="30" w:name="_Toc481126030"/>
      <w:r>
        <w:rPr>
          <w:rFonts w:hint="eastAsia"/>
        </w:rPr>
        <w:t>企业在安全生产标准化、风险分级管控等安全管理体系的基础上，进一步改进隐患排查治理体系，形成一体化的安全管理体系，使隐患排查治理贯彻于生产活动全过程，成为企业日常安全管理工作重要组成部分。</w:t>
      </w:r>
    </w:p>
    <w:p>
      <w:pPr>
        <w:pStyle w:val="9"/>
        <w:numPr>
          <w:numId w:val="0"/>
        </w:numPr>
        <w:ind w:leftChars="0"/>
        <w:rPr>
          <w:rFonts w:hint="eastAsia"/>
        </w:rPr>
      </w:pPr>
      <w:bookmarkStart w:id="31" w:name="_Toc481293777"/>
      <w:bookmarkStart w:id="32" w:name="_Toc481293243"/>
      <w:bookmarkStart w:id="33" w:name="_Toc8544"/>
      <w:r>
        <w:rPr>
          <w:rFonts w:hint="eastAsia"/>
          <w:lang w:val="en-US" w:eastAsia="zh-CN"/>
        </w:rPr>
        <w:t>2.3</w:t>
      </w:r>
      <w:r>
        <w:rPr>
          <w:rFonts w:hint="eastAsia"/>
        </w:rPr>
        <w:t>激励约束</w:t>
      </w:r>
      <w:bookmarkEnd w:id="28"/>
      <w:bookmarkEnd w:id="29"/>
      <w:bookmarkEnd w:id="30"/>
      <w:bookmarkEnd w:id="31"/>
      <w:bookmarkEnd w:id="32"/>
      <w:bookmarkEnd w:id="33"/>
    </w:p>
    <w:p>
      <w:pPr>
        <w:pStyle w:val="8"/>
        <w:spacing w:beforeLines="50" w:afterLines="50"/>
        <w:rPr>
          <w:rFonts w:hint="eastAsia"/>
        </w:rPr>
      </w:pPr>
      <w:bookmarkStart w:id="34" w:name="_Toc481126031"/>
      <w:bookmarkStart w:id="35" w:name="_Toc479927952"/>
      <w:bookmarkStart w:id="36" w:name="_Toc479928006"/>
      <w:r>
        <w:rPr>
          <w:rFonts w:hint="eastAsia"/>
        </w:rPr>
        <w:t>企业应建立隐患排查治理目标责任考核机制，明确各层级、各岗位的排查隐患、落实治理措施的责任，纳入到企业KPI考核管理机制中。</w:t>
      </w:r>
    </w:p>
    <w:p>
      <w:pPr>
        <w:pStyle w:val="9"/>
        <w:numPr>
          <w:numId w:val="0"/>
        </w:numPr>
        <w:ind w:leftChars="0"/>
        <w:rPr>
          <w:rFonts w:hint="eastAsia"/>
        </w:rPr>
      </w:pPr>
      <w:bookmarkStart w:id="37" w:name="_Toc481293244"/>
      <w:bookmarkStart w:id="38" w:name="_Toc481293778"/>
      <w:bookmarkStart w:id="39" w:name="_Toc28384"/>
      <w:r>
        <w:rPr>
          <w:rFonts w:hint="eastAsia"/>
          <w:lang w:val="en-US" w:eastAsia="zh-CN"/>
        </w:rPr>
        <w:t>2.4</w:t>
      </w:r>
      <w:r>
        <w:rPr>
          <w:rFonts w:hint="eastAsia"/>
        </w:rPr>
        <w:t>完善制度</w:t>
      </w:r>
      <w:bookmarkEnd w:id="34"/>
      <w:bookmarkEnd w:id="35"/>
      <w:bookmarkEnd w:id="36"/>
      <w:bookmarkEnd w:id="37"/>
      <w:bookmarkEnd w:id="38"/>
      <w:bookmarkEnd w:id="39"/>
    </w:p>
    <w:p>
      <w:pPr>
        <w:pStyle w:val="8"/>
        <w:spacing w:beforeLines="50" w:afterLines="50"/>
        <w:rPr>
          <w:rFonts w:hint="eastAsia"/>
        </w:rPr>
      </w:pPr>
      <w:bookmarkStart w:id="40" w:name="_Toc479928497"/>
      <w:bookmarkStart w:id="41" w:name="_Toc479927953"/>
      <w:bookmarkStart w:id="42" w:name="_Toc479928007"/>
      <w:r>
        <w:rPr>
          <w:rFonts w:hint="eastAsia"/>
        </w:rPr>
        <w:t>企业应依据DB37/T****-2017生产安全事故隐患排查治理体系细则4.4章节要求建立事故隐患排查治理等相关制度和记录文件。</w:t>
      </w:r>
    </w:p>
    <w:p>
      <w:pPr>
        <w:pStyle w:val="7"/>
        <w:numPr>
          <w:numId w:val="0"/>
        </w:numPr>
        <w:ind w:leftChars="0"/>
        <w:rPr>
          <w:rFonts w:hint="eastAsia"/>
        </w:rPr>
      </w:pPr>
      <w:bookmarkStart w:id="43" w:name="_Toc1371"/>
      <w:bookmarkStart w:id="44" w:name="_Toc481293245"/>
      <w:bookmarkStart w:id="45" w:name="_Toc481293779"/>
      <w:r>
        <w:rPr>
          <w:rFonts w:hint="eastAsia"/>
          <w:lang w:val="en-US" w:eastAsia="zh-CN"/>
        </w:rPr>
        <w:t>3.</w:t>
      </w:r>
      <w:r>
        <w:rPr>
          <w:rFonts w:hint="eastAsia"/>
        </w:rPr>
        <w:t>隐患分级与分类</w:t>
      </w:r>
      <w:bookmarkEnd w:id="40"/>
      <w:bookmarkEnd w:id="41"/>
      <w:bookmarkEnd w:id="42"/>
      <w:bookmarkEnd w:id="43"/>
      <w:bookmarkEnd w:id="44"/>
      <w:bookmarkEnd w:id="45"/>
    </w:p>
    <w:p>
      <w:pPr>
        <w:pStyle w:val="8"/>
        <w:spacing w:beforeLines="50" w:afterLines="50"/>
      </w:pPr>
      <w:r>
        <w:rPr>
          <w:rFonts w:hint="eastAsia"/>
        </w:rPr>
        <w:t>企业在隐患排查之前收集相关必要的信息，为全面隐患排查，彻底治理隐患打下基础。所需信息可包括：</w:t>
      </w:r>
    </w:p>
    <w:p>
      <w:pPr>
        <w:pStyle w:val="8"/>
        <w:spacing w:beforeLines="50" w:afterLines="50"/>
      </w:pPr>
      <w:r>
        <w:rPr>
          <w:rFonts w:hint="eastAsia"/>
        </w:rPr>
        <w:t>（1）安全生产相关法律、法规、标准、规范；</w:t>
      </w:r>
    </w:p>
    <w:p>
      <w:pPr>
        <w:pStyle w:val="8"/>
        <w:spacing w:beforeLines="50" w:afterLines="50"/>
      </w:pPr>
      <w:r>
        <w:rPr>
          <w:rFonts w:hint="eastAsia"/>
        </w:rPr>
        <w:t>（2）已识别的危险源信息，对应的措施和企业规章制度、操作规程；</w:t>
      </w:r>
    </w:p>
    <w:p>
      <w:pPr>
        <w:pStyle w:val="8"/>
        <w:spacing w:beforeLines="50" w:afterLines="50"/>
      </w:pPr>
      <w:r>
        <w:rPr>
          <w:rFonts w:hint="eastAsia"/>
        </w:rPr>
        <w:t>（3）物料清单、产品规范、化学品安全说明书（MSDS）；</w:t>
      </w:r>
    </w:p>
    <w:p>
      <w:pPr>
        <w:pStyle w:val="8"/>
        <w:spacing w:beforeLines="50" w:afterLines="50"/>
      </w:pPr>
      <w:r>
        <w:rPr>
          <w:rFonts w:hint="eastAsia"/>
        </w:rPr>
        <w:t>（4）上级安监部门检查提出的问题及要求；</w:t>
      </w:r>
    </w:p>
    <w:p>
      <w:pPr>
        <w:pStyle w:val="8"/>
        <w:spacing w:beforeLines="50" w:afterLines="50"/>
      </w:pPr>
      <w:r>
        <w:rPr>
          <w:rFonts w:hint="eastAsia"/>
        </w:rPr>
        <w:t>（5）事故案例和本企业以往的事故、事件；</w:t>
      </w:r>
    </w:p>
    <w:p>
      <w:pPr>
        <w:pStyle w:val="8"/>
        <w:spacing w:beforeLines="50" w:afterLines="50"/>
      </w:pPr>
      <w:r>
        <w:rPr>
          <w:rFonts w:hint="eastAsia"/>
        </w:rPr>
        <w:t>（6）设备、设施资料及技术说明书；</w:t>
      </w:r>
    </w:p>
    <w:p>
      <w:pPr>
        <w:pStyle w:val="8"/>
        <w:spacing w:beforeLines="50" w:afterLines="50"/>
      </w:pPr>
      <w:r>
        <w:rPr>
          <w:rFonts w:hint="eastAsia"/>
        </w:rPr>
        <w:t>（7）安全、职业卫生评价及检测报告、特种设备检测报告；</w:t>
      </w:r>
    </w:p>
    <w:p>
      <w:pPr>
        <w:pStyle w:val="8"/>
        <w:spacing w:beforeLines="50" w:afterLines="50"/>
      </w:pPr>
      <w:r>
        <w:rPr>
          <w:rFonts w:hint="eastAsia"/>
        </w:rPr>
        <w:t>（8）外协或外包的类型（如建设施工、设备大修等）。</w:t>
      </w:r>
    </w:p>
    <w:p>
      <w:pPr>
        <w:pStyle w:val="9"/>
        <w:numPr>
          <w:numId w:val="0"/>
        </w:numPr>
        <w:ind w:leftChars="0"/>
        <w:rPr>
          <w:rFonts w:hint="eastAsia"/>
        </w:rPr>
      </w:pPr>
      <w:bookmarkStart w:id="46" w:name="_Toc479928498"/>
      <w:bookmarkStart w:id="47" w:name="_Toc481293780"/>
      <w:bookmarkStart w:id="48" w:name="_Toc479927954"/>
      <w:bookmarkStart w:id="49" w:name="_Toc479928008"/>
      <w:bookmarkStart w:id="50" w:name="_Toc16232"/>
      <w:bookmarkStart w:id="51" w:name="_Toc481293246"/>
      <w:r>
        <w:rPr>
          <w:rFonts w:hint="eastAsia"/>
          <w:lang w:val="en-US" w:eastAsia="zh-CN"/>
        </w:rPr>
        <w:t>3.1</w:t>
      </w:r>
      <w:r>
        <w:rPr>
          <w:rFonts w:hint="eastAsia"/>
        </w:rPr>
        <w:t>隐患分级</w:t>
      </w:r>
      <w:bookmarkEnd w:id="46"/>
      <w:bookmarkEnd w:id="47"/>
      <w:bookmarkEnd w:id="48"/>
      <w:bookmarkEnd w:id="49"/>
      <w:bookmarkEnd w:id="50"/>
      <w:bookmarkEnd w:id="51"/>
    </w:p>
    <w:p>
      <w:pPr>
        <w:pStyle w:val="8"/>
        <w:spacing w:beforeLines="50" w:afterLines="50"/>
        <w:rPr>
          <w:rFonts w:hint="eastAsia"/>
        </w:rPr>
      </w:pPr>
      <w:r>
        <w:rPr>
          <w:rFonts w:hint="eastAsia"/>
        </w:rPr>
        <w:t>根据隐患整改、治理和排除的难度及其可能导致事故后果和影响范围，分为一般事故隐患和重大事故隐患。</w:t>
      </w:r>
    </w:p>
    <w:p>
      <w:pPr>
        <w:pStyle w:val="10"/>
        <w:numPr>
          <w:numId w:val="0"/>
        </w:numPr>
        <w:spacing w:before="156" w:after="156"/>
        <w:ind w:leftChars="0"/>
        <w:rPr>
          <w:rFonts w:hint="eastAsia"/>
        </w:rPr>
      </w:pPr>
      <w:r>
        <w:rPr>
          <w:rFonts w:hint="eastAsia"/>
          <w:lang w:val="en-US" w:eastAsia="zh-CN"/>
        </w:rPr>
        <w:t>3.1.1</w:t>
      </w:r>
      <w:r>
        <w:rPr>
          <w:rFonts w:hint="eastAsia"/>
        </w:rPr>
        <w:t>一般事故隐患</w:t>
      </w:r>
    </w:p>
    <w:p>
      <w:pPr>
        <w:pStyle w:val="8"/>
        <w:spacing w:beforeLines="50" w:afterLines="50"/>
        <w:rPr>
          <w:rFonts w:hint="eastAsia"/>
        </w:rPr>
      </w:pPr>
      <w:r>
        <w:rPr>
          <w:rFonts w:hint="eastAsia"/>
        </w:rPr>
        <w:t>企业排查的事故隐患其风险等级在三级以下的且符合DB37/T****-2017生产安全事故隐患排查治理体系细则5.1章节定义的隐患为一般事故隐患。</w:t>
      </w:r>
    </w:p>
    <w:p>
      <w:pPr>
        <w:pStyle w:val="8"/>
        <w:spacing w:beforeLines="50" w:afterLines="50"/>
        <w:rPr>
          <w:rFonts w:hint="eastAsia"/>
        </w:rPr>
      </w:pPr>
      <w:r>
        <w:rPr>
          <w:rFonts w:hint="eastAsia"/>
        </w:rPr>
        <w:t>参照本企业的《风险分析评价记录》，三、四级风险对应的事故隐患为一般事故隐患。企业可以结合本单位的实际情况、整改难度等，可将一般隐患分为一类一般隐患（车间级）和二类一般隐患（班组/岗位级）。</w:t>
      </w:r>
    </w:p>
    <w:p>
      <w:pPr>
        <w:pStyle w:val="8"/>
        <w:spacing w:beforeLines="50" w:afterLines="50"/>
        <w:rPr>
          <w:rFonts w:hint="eastAsia"/>
        </w:rPr>
      </w:pPr>
      <w:r>
        <w:rPr>
          <w:rFonts w:hint="eastAsia"/>
        </w:rPr>
        <w:t>（1）一类一般隐患</w:t>
      </w:r>
    </w:p>
    <w:p>
      <w:pPr>
        <w:pStyle w:val="8"/>
        <w:spacing w:beforeLines="50" w:afterLines="50"/>
        <w:rPr>
          <w:rFonts w:hint="eastAsia"/>
        </w:rPr>
      </w:pPr>
      <w:r>
        <w:rPr>
          <w:rFonts w:hint="eastAsia"/>
        </w:rPr>
        <w:t>将三级风险对应的隐患列为一类一般隐患，重点突出各车间重大操作、检修以及危险性较大的隐患，如：熔炼重要设备的启停等，定期清炉作业，涂装车间定期清理涂装线等。</w:t>
      </w:r>
    </w:p>
    <w:p>
      <w:pPr>
        <w:pStyle w:val="8"/>
        <w:spacing w:beforeLines="50" w:afterLines="50"/>
        <w:rPr>
          <w:rFonts w:hint="eastAsia"/>
        </w:rPr>
      </w:pPr>
      <w:r>
        <w:rPr>
          <w:rFonts w:hint="eastAsia"/>
        </w:rPr>
        <w:t>（2）二类一般隐患</w:t>
      </w:r>
    </w:p>
    <w:p>
      <w:pPr>
        <w:pStyle w:val="8"/>
        <w:spacing w:beforeLines="50" w:afterLines="50"/>
        <w:rPr>
          <w:rFonts w:hint="eastAsia"/>
        </w:rPr>
      </w:pPr>
      <w:r>
        <w:rPr>
          <w:rFonts w:hint="eastAsia"/>
        </w:rPr>
        <w:t>将四级风险对应的隐患列为二类一般隐患。</w:t>
      </w:r>
    </w:p>
    <w:p>
      <w:pPr>
        <w:pStyle w:val="10"/>
        <w:numPr>
          <w:numId w:val="0"/>
        </w:numPr>
        <w:spacing w:before="156" w:after="156"/>
        <w:ind w:leftChars="0"/>
        <w:rPr>
          <w:rFonts w:hint="eastAsia"/>
        </w:rPr>
      </w:pPr>
      <w:r>
        <w:rPr>
          <w:rFonts w:hint="eastAsia"/>
          <w:lang w:val="en-US" w:eastAsia="zh-CN"/>
        </w:rPr>
        <w:t>3.1.2</w:t>
      </w:r>
      <w:r>
        <w:rPr>
          <w:rFonts w:hint="eastAsia"/>
        </w:rPr>
        <w:t>重大事故隐患</w:t>
      </w:r>
    </w:p>
    <w:p>
      <w:pPr>
        <w:pStyle w:val="8"/>
        <w:spacing w:beforeLines="50" w:afterLines="50"/>
        <w:rPr>
          <w:rFonts w:hint="eastAsia"/>
        </w:rPr>
      </w:pPr>
      <w:bookmarkStart w:id="52" w:name="_Toc479928499"/>
      <w:bookmarkStart w:id="53" w:name="_Toc479928009"/>
      <w:bookmarkStart w:id="54" w:name="_Toc479927955"/>
      <w:r>
        <w:rPr>
          <w:rFonts w:hint="eastAsia"/>
        </w:rPr>
        <w:t>企业排查的事故隐患其风险等级在二级以上的且符合DB37/T****-2017生产安全事故隐患排查治理体系细则5.1.2章节定义的隐患为重大事故隐患。</w:t>
      </w:r>
    </w:p>
    <w:p>
      <w:pPr>
        <w:pStyle w:val="9"/>
        <w:numPr>
          <w:numId w:val="0"/>
        </w:numPr>
        <w:ind w:leftChars="0"/>
        <w:rPr>
          <w:rFonts w:hint="eastAsia"/>
        </w:rPr>
      </w:pPr>
      <w:bookmarkStart w:id="55" w:name="_Toc27003"/>
      <w:bookmarkStart w:id="56" w:name="_Toc481293247"/>
      <w:bookmarkStart w:id="57" w:name="_Toc481293781"/>
      <w:r>
        <w:rPr>
          <w:rFonts w:hint="eastAsia"/>
          <w:lang w:val="en-US" w:eastAsia="zh-CN"/>
        </w:rPr>
        <w:t>3.2</w:t>
      </w:r>
      <w:r>
        <w:rPr>
          <w:rFonts w:hint="eastAsia"/>
        </w:rPr>
        <w:t>隐患分类</w:t>
      </w:r>
      <w:bookmarkEnd w:id="52"/>
      <w:bookmarkEnd w:id="53"/>
      <w:bookmarkEnd w:id="54"/>
      <w:bookmarkEnd w:id="55"/>
      <w:bookmarkEnd w:id="56"/>
      <w:bookmarkEnd w:id="57"/>
    </w:p>
    <w:p>
      <w:pPr>
        <w:pStyle w:val="8"/>
        <w:spacing w:beforeLines="50" w:afterLines="50"/>
        <w:rPr>
          <w:rFonts w:hint="eastAsia"/>
        </w:rPr>
      </w:pPr>
      <w:r>
        <w:rPr>
          <w:rFonts w:hint="eastAsia"/>
        </w:rPr>
        <w:t>事故隐患分为基础管理类隐患和生产现场类隐患。</w:t>
      </w:r>
    </w:p>
    <w:p>
      <w:pPr>
        <w:pStyle w:val="10"/>
        <w:numPr>
          <w:numId w:val="0"/>
        </w:numPr>
        <w:spacing w:before="156" w:after="156"/>
        <w:ind w:leftChars="0"/>
        <w:rPr>
          <w:rFonts w:hint="eastAsia"/>
        </w:rPr>
      </w:pPr>
      <w:r>
        <w:rPr>
          <w:rFonts w:hint="eastAsia"/>
          <w:lang w:val="en-US" w:eastAsia="zh-CN"/>
        </w:rPr>
        <w:t>3.2.1</w:t>
      </w:r>
      <w:r>
        <w:rPr>
          <w:rFonts w:hint="eastAsia"/>
        </w:rPr>
        <w:t>基础管理类隐患</w:t>
      </w:r>
    </w:p>
    <w:p>
      <w:pPr>
        <w:pStyle w:val="8"/>
        <w:spacing w:beforeLines="50" w:afterLines="50"/>
        <w:rPr>
          <w:rFonts w:hint="eastAsia"/>
        </w:rPr>
      </w:pPr>
      <w:r>
        <w:rPr>
          <w:rFonts w:hint="eastAsia"/>
        </w:rPr>
        <w:t>企业基础管理类隐患项目内容参见DB37/T****-2017生产安全事故隐患排查治理体系细则5.2.1章节内容。</w:t>
      </w:r>
    </w:p>
    <w:p>
      <w:pPr>
        <w:pStyle w:val="10"/>
        <w:numPr>
          <w:numId w:val="0"/>
        </w:numPr>
        <w:spacing w:before="156" w:after="156"/>
        <w:ind w:leftChars="0"/>
        <w:rPr>
          <w:rFonts w:hint="eastAsia"/>
        </w:rPr>
      </w:pPr>
      <w:r>
        <w:rPr>
          <w:rFonts w:hint="eastAsia"/>
          <w:lang w:val="en-US" w:eastAsia="zh-CN"/>
        </w:rPr>
        <w:t>3.2.2</w:t>
      </w:r>
      <w:r>
        <w:rPr>
          <w:rFonts w:hint="eastAsia"/>
        </w:rPr>
        <w:t>生产现场类隐患</w:t>
      </w:r>
    </w:p>
    <w:p>
      <w:pPr>
        <w:pStyle w:val="8"/>
        <w:spacing w:beforeLines="50" w:afterLines="50"/>
        <w:rPr>
          <w:rFonts w:hint="eastAsia"/>
        </w:rPr>
      </w:pPr>
      <w:bookmarkStart w:id="58" w:name="_Toc479928500"/>
      <w:bookmarkStart w:id="59" w:name="_Toc479928010"/>
      <w:bookmarkStart w:id="60" w:name="_Toc479927956"/>
      <w:r>
        <w:rPr>
          <w:rFonts w:hint="eastAsia"/>
        </w:rPr>
        <w:t>企业生产现场类隐患项目内容参见DB37/T****-2017生产安全事故隐患排查治理体系细则5.2.2章节内容。</w:t>
      </w:r>
    </w:p>
    <w:p>
      <w:pPr>
        <w:pStyle w:val="7"/>
        <w:numPr>
          <w:numId w:val="0"/>
        </w:numPr>
        <w:ind w:leftChars="0"/>
        <w:rPr>
          <w:rFonts w:hint="eastAsia"/>
        </w:rPr>
      </w:pPr>
      <w:bookmarkStart w:id="61" w:name="_Toc12416"/>
      <w:bookmarkStart w:id="62" w:name="_Toc481293782"/>
      <w:bookmarkStart w:id="63" w:name="_Toc481293248"/>
      <w:r>
        <w:rPr>
          <w:rFonts w:hint="eastAsia"/>
          <w:lang w:val="en-US" w:eastAsia="zh-CN"/>
        </w:rPr>
        <w:t>4</w:t>
      </w:r>
      <w:r>
        <w:rPr>
          <w:rFonts w:hint="eastAsia"/>
        </w:rPr>
        <w:t>工作程序和内容</w:t>
      </w:r>
      <w:bookmarkEnd w:id="58"/>
      <w:bookmarkEnd w:id="59"/>
      <w:bookmarkEnd w:id="60"/>
      <w:bookmarkEnd w:id="61"/>
      <w:bookmarkEnd w:id="62"/>
      <w:bookmarkEnd w:id="63"/>
    </w:p>
    <w:p>
      <w:pPr>
        <w:pStyle w:val="9"/>
        <w:numPr>
          <w:numId w:val="0"/>
        </w:numPr>
        <w:ind w:leftChars="0"/>
        <w:rPr>
          <w:rFonts w:hint="eastAsia"/>
        </w:rPr>
      </w:pPr>
      <w:bookmarkStart w:id="64" w:name="_Toc481293783"/>
      <w:bookmarkStart w:id="65" w:name="_Toc481293249"/>
      <w:bookmarkStart w:id="66" w:name="_Toc479928501"/>
      <w:bookmarkStart w:id="67" w:name="_Toc25059"/>
      <w:bookmarkStart w:id="68" w:name="_Toc479927957"/>
      <w:bookmarkStart w:id="69" w:name="_Toc479928011"/>
      <w:r>
        <w:rPr>
          <w:rFonts w:hint="eastAsia"/>
          <w:lang w:val="en-US" w:eastAsia="zh-CN"/>
        </w:rPr>
        <w:t>4.1</w:t>
      </w:r>
      <w:r>
        <w:rPr>
          <w:rFonts w:hint="eastAsia"/>
        </w:rPr>
        <w:t>编制排查项目清单</w:t>
      </w:r>
      <w:bookmarkEnd w:id="64"/>
      <w:bookmarkEnd w:id="65"/>
      <w:bookmarkEnd w:id="66"/>
      <w:bookmarkEnd w:id="67"/>
      <w:bookmarkEnd w:id="68"/>
      <w:bookmarkEnd w:id="69"/>
    </w:p>
    <w:p>
      <w:pPr>
        <w:pStyle w:val="10"/>
        <w:numPr>
          <w:numId w:val="0"/>
        </w:numPr>
        <w:spacing w:before="156" w:after="156"/>
        <w:ind w:leftChars="0"/>
        <w:rPr>
          <w:rFonts w:hint="eastAsia"/>
        </w:rPr>
      </w:pPr>
      <w:r>
        <w:rPr>
          <w:rFonts w:hint="eastAsia"/>
          <w:lang w:val="en-US" w:eastAsia="zh-CN"/>
        </w:rPr>
        <w:t>4.1.1</w:t>
      </w:r>
      <w:r>
        <w:rPr>
          <w:rFonts w:hint="eastAsia"/>
        </w:rPr>
        <w:t>基本要求</w:t>
      </w:r>
    </w:p>
    <w:p>
      <w:pPr>
        <w:pStyle w:val="8"/>
        <w:spacing w:beforeLines="50" w:afterLines="50"/>
        <w:rPr>
          <w:rFonts w:hint="eastAsia"/>
        </w:rPr>
      </w:pPr>
      <w:r>
        <w:rPr>
          <w:rFonts w:hint="eastAsia"/>
        </w:rPr>
        <w:t>企业依据确定的各类风险点的全部控制措施和基础安全管理要求，编制排隐患查项目清单。隐患排查项目清单包括生产现场类隐患排查清单和基础管理类隐患排查清单。企业应编制隐患排查治理内容清单的“编制与使用说明”，排查方法、排查周期应在企业隐患排查治理制度中明确，并将隐患排查治理体系运行过程及结果纳入本单位奖惩考核制度中，确保落实到位。</w:t>
      </w:r>
    </w:p>
    <w:p>
      <w:pPr>
        <w:pStyle w:val="10"/>
        <w:numPr>
          <w:numId w:val="0"/>
        </w:numPr>
        <w:spacing w:before="156" w:after="156"/>
        <w:ind w:leftChars="0"/>
        <w:rPr>
          <w:rFonts w:hint="eastAsia"/>
        </w:rPr>
      </w:pPr>
      <w:r>
        <w:rPr>
          <w:rFonts w:hint="eastAsia"/>
          <w:lang w:val="en-US" w:eastAsia="zh-CN"/>
        </w:rPr>
        <w:t>4.1.2</w:t>
      </w:r>
      <w:r>
        <w:rPr>
          <w:rFonts w:hint="eastAsia"/>
        </w:rPr>
        <w:t>生产现场类隐患排查项目清单</w:t>
      </w:r>
    </w:p>
    <w:p>
      <w:pPr>
        <w:pStyle w:val="8"/>
        <w:spacing w:beforeLines="50" w:afterLines="50"/>
        <w:rPr>
          <w:rFonts w:ascii="仿宋" w:hAnsi="仿宋" w:eastAsia="仿宋"/>
        </w:rPr>
      </w:pPr>
      <w:r>
        <w:rPr>
          <w:rFonts w:hint="eastAsia"/>
        </w:rPr>
        <w:t>企业按照《</w:t>
      </w:r>
      <w:r>
        <w:rPr>
          <w:rFonts w:hint="eastAsia"/>
          <w:lang w:eastAsia="zh-CN"/>
        </w:rPr>
        <w:t>XX工贸企业双重预防机制建设验收评分细则</w:t>
      </w:r>
      <w:r>
        <w:rPr>
          <w:rFonts w:hint="eastAsia"/>
        </w:rPr>
        <w:t>》编制本企业生产现场类隐患排查项目清单。</w:t>
      </w:r>
    </w:p>
    <w:p>
      <w:pPr>
        <w:pStyle w:val="10"/>
        <w:numPr>
          <w:numId w:val="0"/>
        </w:numPr>
        <w:spacing w:before="156" w:after="156"/>
        <w:ind w:leftChars="0"/>
        <w:rPr>
          <w:rFonts w:hint="eastAsia"/>
        </w:rPr>
      </w:pPr>
      <w:r>
        <w:rPr>
          <w:rFonts w:hint="eastAsia"/>
          <w:lang w:val="en-US" w:eastAsia="zh-CN"/>
        </w:rPr>
        <w:t>4.1.3</w:t>
      </w:r>
      <w:r>
        <w:rPr>
          <w:rFonts w:hint="eastAsia"/>
        </w:rPr>
        <w:t>基础管理类隐患排查项目清单</w:t>
      </w:r>
    </w:p>
    <w:p>
      <w:pPr>
        <w:pStyle w:val="8"/>
        <w:spacing w:beforeLines="50" w:afterLines="50"/>
      </w:pPr>
      <w:bookmarkStart w:id="70" w:name="_Toc479928502"/>
      <w:bookmarkStart w:id="71" w:name="_Toc479928012"/>
      <w:bookmarkStart w:id="72" w:name="_Toc479927958"/>
      <w:r>
        <w:rPr>
          <w:rFonts w:hint="eastAsia"/>
        </w:rPr>
        <w:t>企业按照</w:t>
      </w:r>
      <w:r>
        <w:rPr>
          <w:rFonts w:hint="eastAsia"/>
          <w:lang w:eastAsia="zh-CN"/>
        </w:rPr>
        <w:t>《</w:t>
      </w:r>
      <w:r>
        <w:rPr>
          <w:rFonts w:hint="eastAsia"/>
          <w:lang w:val="en-US" w:eastAsia="zh-CN"/>
        </w:rPr>
        <w:t>XX</w:t>
      </w:r>
      <w:r>
        <w:rPr>
          <w:rFonts w:hint="eastAsia"/>
          <w:lang w:eastAsia="zh-CN"/>
        </w:rPr>
        <w:t>工贸企业双重预防机制建设验收评分细则》（</w:t>
      </w:r>
      <w:r>
        <w:rPr>
          <w:rFonts w:hint="eastAsia"/>
        </w:rPr>
        <w:t>编制本企业生产现场类隐患排查项目清单。</w:t>
      </w:r>
    </w:p>
    <w:p>
      <w:pPr>
        <w:pStyle w:val="9"/>
        <w:numPr>
          <w:numId w:val="0"/>
        </w:numPr>
        <w:ind w:leftChars="0"/>
        <w:rPr>
          <w:rFonts w:hint="eastAsia"/>
        </w:rPr>
      </w:pPr>
      <w:bookmarkStart w:id="73" w:name="_Toc481293784"/>
      <w:bookmarkStart w:id="74" w:name="_Toc481293250"/>
      <w:bookmarkStart w:id="75" w:name="_Toc30678"/>
      <w:r>
        <w:rPr>
          <w:rFonts w:hint="eastAsia"/>
          <w:lang w:val="en-US" w:eastAsia="zh-CN"/>
        </w:rPr>
        <w:t>4.2</w:t>
      </w:r>
      <w:r>
        <w:rPr>
          <w:rFonts w:hint="eastAsia"/>
        </w:rPr>
        <w:t>制定排查计划</w:t>
      </w:r>
      <w:bookmarkEnd w:id="70"/>
      <w:bookmarkEnd w:id="71"/>
      <w:bookmarkEnd w:id="72"/>
      <w:bookmarkEnd w:id="73"/>
      <w:bookmarkEnd w:id="74"/>
      <w:bookmarkEnd w:id="75"/>
    </w:p>
    <w:p>
      <w:pPr>
        <w:pStyle w:val="8"/>
        <w:spacing w:beforeLines="50" w:afterLines="50"/>
        <w:rPr>
          <w:rFonts w:hint="eastAsia"/>
        </w:rPr>
      </w:pPr>
      <w:r>
        <w:rPr>
          <w:rFonts w:hint="eastAsia"/>
        </w:rPr>
        <w:t>隐患排查治理是企业安全管理的基础工作，企业应根据生产运行特点，制定隐患排查计划，明确各类型隐患排查的排查时间、排查目的、排查要求、排查范围、组织级别及排查人员等。如：</w:t>
      </w:r>
    </w:p>
    <w:p>
      <w:pPr>
        <w:pStyle w:val="8"/>
        <w:spacing w:beforeLines="50" w:afterLines="50"/>
        <w:rPr>
          <w:rFonts w:hint="eastAsia"/>
        </w:rPr>
      </w:pPr>
      <w:r>
        <w:rPr>
          <w:rFonts w:hint="eastAsia"/>
        </w:rPr>
        <w:t>（1）综合性隐患排查、季节性隐患排查、节假日隐患排查、专家诊断性检查和事故类比隐患排查计划由公司安全管理部门安全科制定。</w:t>
      </w:r>
    </w:p>
    <w:p>
      <w:pPr>
        <w:pStyle w:val="8"/>
        <w:spacing w:beforeLines="50" w:afterLines="50"/>
        <w:rPr>
          <w:rFonts w:hint="eastAsia"/>
        </w:rPr>
      </w:pPr>
      <w:r>
        <w:rPr>
          <w:rFonts w:hint="eastAsia"/>
        </w:rPr>
        <w:t>（2）专业性隐患排查和专项隐患排查计划由设动、技术、生产等各专业部门制定。</w:t>
      </w:r>
    </w:p>
    <w:p>
      <w:pPr>
        <w:pStyle w:val="8"/>
        <w:spacing w:beforeLines="50" w:afterLines="50"/>
        <w:rPr>
          <w:rFonts w:hint="eastAsia"/>
        </w:rPr>
      </w:pPr>
      <w:r>
        <w:rPr>
          <w:rFonts w:hint="eastAsia"/>
        </w:rPr>
        <w:t>（3）日常隐患排查，由基层各车间的班组岗位人员每天进行点检、巡查。</w:t>
      </w:r>
    </w:p>
    <w:p>
      <w:pPr>
        <w:pStyle w:val="8"/>
        <w:spacing w:beforeLines="50" w:afterLines="50"/>
        <w:ind w:firstLine="0" w:firstLineChars="0"/>
        <w:jc w:val="left"/>
        <w:rPr>
          <w:rFonts w:hint="eastAsia"/>
          <w:b/>
        </w:rPr>
      </w:pPr>
      <w:r>
        <w:rPr>
          <w:rFonts w:hint="eastAsia"/>
          <w:b/>
        </w:rPr>
        <w:t>表1   生产安全事故隐患排查计划</w:t>
      </w:r>
    </w:p>
    <w:tbl>
      <w:tblPr>
        <w:tblStyle w:val="4"/>
        <w:tblW w:w="8522" w:type="dxa"/>
        <w:tblInd w:w="0" w:type="dxa"/>
        <w:tblLayout w:type="fixed"/>
        <w:tblCellMar>
          <w:top w:w="0" w:type="dxa"/>
          <w:left w:w="108" w:type="dxa"/>
          <w:bottom w:w="0" w:type="dxa"/>
          <w:right w:w="108" w:type="dxa"/>
        </w:tblCellMar>
      </w:tblPr>
      <w:tblGrid>
        <w:gridCol w:w="452"/>
        <w:gridCol w:w="782"/>
        <w:gridCol w:w="631"/>
        <w:gridCol w:w="1009"/>
        <w:gridCol w:w="1873"/>
        <w:gridCol w:w="2040"/>
        <w:gridCol w:w="586"/>
        <w:gridCol w:w="1149"/>
      </w:tblGrid>
      <w:tr>
        <w:tblPrEx>
          <w:tblCellMar>
            <w:top w:w="0" w:type="dxa"/>
            <w:left w:w="108" w:type="dxa"/>
            <w:bottom w:w="0" w:type="dxa"/>
            <w:right w:w="108" w:type="dxa"/>
          </w:tblCellMar>
        </w:tblPrEx>
        <w:trPr>
          <w:trHeight w:val="480" w:hRule="atLeast"/>
        </w:trPr>
        <w:tc>
          <w:tcPr>
            <w:tcW w:w="4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7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隐患排查类型</w:t>
            </w:r>
          </w:p>
        </w:tc>
        <w:tc>
          <w:tcPr>
            <w:tcW w:w="6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排查时间</w:t>
            </w:r>
          </w:p>
        </w:tc>
        <w:tc>
          <w:tcPr>
            <w:tcW w:w="10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排查目的</w:t>
            </w:r>
          </w:p>
        </w:tc>
        <w:tc>
          <w:tcPr>
            <w:tcW w:w="18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排查要求</w:t>
            </w:r>
          </w:p>
        </w:tc>
        <w:tc>
          <w:tcPr>
            <w:tcW w:w="20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排查范围</w:t>
            </w:r>
          </w:p>
        </w:tc>
        <w:tc>
          <w:tcPr>
            <w:tcW w:w="5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组织级别</w:t>
            </w:r>
          </w:p>
        </w:tc>
        <w:tc>
          <w:tcPr>
            <w:tcW w:w="11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排查人员</w:t>
            </w:r>
          </w:p>
        </w:tc>
      </w:tr>
      <w:tr>
        <w:tblPrEx>
          <w:tblCellMar>
            <w:top w:w="0" w:type="dxa"/>
            <w:left w:w="108" w:type="dxa"/>
            <w:bottom w:w="0" w:type="dxa"/>
            <w:right w:w="108" w:type="dxa"/>
          </w:tblCellMar>
        </w:tblPrEx>
        <w:trPr>
          <w:trHeight w:val="480" w:hRule="atLeast"/>
        </w:trPr>
        <w:tc>
          <w:tcPr>
            <w:tcW w:w="452"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82"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日常隐患排查</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每班</w:t>
            </w:r>
          </w:p>
        </w:tc>
        <w:tc>
          <w:tcPr>
            <w:tcW w:w="1009" w:type="dxa"/>
            <w:vMerge w:val="restart"/>
            <w:tcBorders>
              <w:top w:val="nil"/>
              <w:left w:val="nil"/>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保障安全生产</w:t>
            </w:r>
          </w:p>
        </w:tc>
        <w:tc>
          <w:tcPr>
            <w:tcW w:w="1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交接班检查、设备点检和班中巡回检查</w:t>
            </w:r>
          </w:p>
        </w:tc>
        <w:tc>
          <w:tcPr>
            <w:tcW w:w="2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本岗位全部危险源</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班组岗位</w:t>
            </w:r>
          </w:p>
        </w:tc>
        <w:tc>
          <w:tcPr>
            <w:tcW w:w="1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班组岗位人员</w:t>
            </w:r>
          </w:p>
        </w:tc>
      </w:tr>
      <w:tr>
        <w:tblPrEx>
          <w:tblCellMar>
            <w:top w:w="0" w:type="dxa"/>
            <w:left w:w="108" w:type="dxa"/>
            <w:bottom w:w="0" w:type="dxa"/>
            <w:right w:w="108" w:type="dxa"/>
          </w:tblCellMar>
        </w:tblPrEx>
        <w:trPr>
          <w:trHeight w:val="480" w:hRule="atLeast"/>
        </w:trPr>
        <w:tc>
          <w:tcPr>
            <w:tcW w:w="452"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p>
        </w:tc>
        <w:tc>
          <w:tcPr>
            <w:tcW w:w="78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每天</w:t>
            </w:r>
          </w:p>
        </w:tc>
        <w:tc>
          <w:tcPr>
            <w:tcW w:w="1009" w:type="dxa"/>
            <w:vMerge w:val="continue"/>
            <w:tcBorders>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p>
        </w:tc>
        <w:tc>
          <w:tcPr>
            <w:tcW w:w="18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根据生产工艺特点，进行相关装置检查</w:t>
            </w:r>
          </w:p>
        </w:tc>
        <w:tc>
          <w:tcPr>
            <w:tcW w:w="20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本车间现场装置及三级以上风险点</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车间</w:t>
            </w:r>
          </w:p>
        </w:tc>
        <w:tc>
          <w:tcPr>
            <w:tcW w:w="114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设备、安全管理人员</w:t>
            </w:r>
          </w:p>
        </w:tc>
      </w:tr>
      <w:tr>
        <w:tblPrEx>
          <w:tblCellMar>
            <w:top w:w="0" w:type="dxa"/>
            <w:left w:w="108" w:type="dxa"/>
            <w:bottom w:w="0" w:type="dxa"/>
            <w:right w:w="108" w:type="dxa"/>
          </w:tblCellMar>
        </w:tblPrEx>
        <w:trPr>
          <w:trHeight w:val="480"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7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专项隐患排查</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每月</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排查安全管理隐患</w:t>
            </w:r>
          </w:p>
        </w:tc>
        <w:tc>
          <w:tcPr>
            <w:tcW w:w="1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有关专业部门和车间参与</w:t>
            </w:r>
          </w:p>
        </w:tc>
        <w:tc>
          <w:tcPr>
            <w:tcW w:w="2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各车间部门消防、公辅设施等以及三级以上风险点</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w:t>
            </w:r>
          </w:p>
        </w:tc>
        <w:tc>
          <w:tcPr>
            <w:tcW w:w="1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各相关部门、车间负责人</w:t>
            </w:r>
          </w:p>
        </w:tc>
      </w:tr>
      <w:tr>
        <w:tblPrEx>
          <w:tblCellMar>
            <w:top w:w="0" w:type="dxa"/>
            <w:left w:w="108" w:type="dxa"/>
            <w:bottom w:w="0" w:type="dxa"/>
            <w:right w:w="108" w:type="dxa"/>
          </w:tblCellMar>
        </w:tblPrEx>
        <w:trPr>
          <w:trHeight w:val="480"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7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专业性隐患排查</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每周</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保障较大危险环境的安全生产</w:t>
            </w:r>
          </w:p>
        </w:tc>
        <w:tc>
          <w:tcPr>
            <w:tcW w:w="1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危险性较大的风险点进行专业排查</w:t>
            </w:r>
          </w:p>
        </w:tc>
        <w:tc>
          <w:tcPr>
            <w:tcW w:w="2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有限空间作业、粉尘防爆、特种设备、电气设施、危险化学品等及三级以上风险点</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w:t>
            </w:r>
          </w:p>
        </w:tc>
        <w:tc>
          <w:tcPr>
            <w:tcW w:w="1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生产、技术、安全、设备等专业技术人员</w:t>
            </w:r>
          </w:p>
        </w:tc>
      </w:tr>
      <w:tr>
        <w:tblPrEx>
          <w:tblCellMar>
            <w:top w:w="0" w:type="dxa"/>
            <w:left w:w="108" w:type="dxa"/>
            <w:bottom w:w="0" w:type="dxa"/>
            <w:right w:w="108" w:type="dxa"/>
          </w:tblCellMar>
        </w:tblPrEx>
        <w:trPr>
          <w:trHeight w:val="480"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7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季节性排查</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每季度</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排除因季节变化产生隐患</w:t>
            </w:r>
          </w:p>
        </w:tc>
        <w:tc>
          <w:tcPr>
            <w:tcW w:w="1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生产开停机时和季节变化时对重要设备设施进行隐患排查</w:t>
            </w:r>
          </w:p>
        </w:tc>
        <w:tc>
          <w:tcPr>
            <w:tcW w:w="2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重点设备设施、厂房建筑物、高温高压容器及各路管线管道及三级以上风险点</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部门车间</w:t>
            </w:r>
          </w:p>
        </w:tc>
        <w:tc>
          <w:tcPr>
            <w:tcW w:w="1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部门、车间安全管理人员</w:t>
            </w:r>
          </w:p>
        </w:tc>
      </w:tr>
      <w:tr>
        <w:tblPrEx>
          <w:tblCellMar>
            <w:top w:w="0" w:type="dxa"/>
            <w:left w:w="108" w:type="dxa"/>
            <w:bottom w:w="0" w:type="dxa"/>
            <w:right w:w="108" w:type="dxa"/>
          </w:tblCellMar>
        </w:tblPrEx>
        <w:trPr>
          <w:trHeight w:val="480"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综合性隐患排查</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每季度</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排查安全管理隐患</w:t>
            </w:r>
          </w:p>
        </w:tc>
        <w:tc>
          <w:tcPr>
            <w:tcW w:w="1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有关专业部门和各车间参与的全面隐患排查</w:t>
            </w:r>
          </w:p>
        </w:tc>
        <w:tc>
          <w:tcPr>
            <w:tcW w:w="2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各车间部门的责任制度执行情况及二级以上风险点</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公司</w:t>
            </w:r>
          </w:p>
        </w:tc>
        <w:tc>
          <w:tcPr>
            <w:tcW w:w="1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公司分管副总、部门、车间主要负责人</w:t>
            </w:r>
          </w:p>
        </w:tc>
      </w:tr>
      <w:tr>
        <w:tblPrEx>
          <w:tblCellMar>
            <w:top w:w="0" w:type="dxa"/>
            <w:left w:w="108" w:type="dxa"/>
            <w:bottom w:w="0" w:type="dxa"/>
            <w:right w:w="108" w:type="dxa"/>
          </w:tblCellMar>
        </w:tblPrEx>
        <w:trPr>
          <w:trHeight w:val="480"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7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节假日隐患排查</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重要节假日前</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保障节假日安全生产</w:t>
            </w:r>
          </w:p>
        </w:tc>
        <w:tc>
          <w:tcPr>
            <w:tcW w:w="1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节假日安全落实情况等进行重点检查</w:t>
            </w:r>
          </w:p>
        </w:tc>
        <w:tc>
          <w:tcPr>
            <w:tcW w:w="2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安全、保卫、消防、生产准备、应急措施及预案三级以上风险点</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公司</w:t>
            </w:r>
          </w:p>
        </w:tc>
        <w:tc>
          <w:tcPr>
            <w:tcW w:w="1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公司、车间安全管理人员</w:t>
            </w:r>
          </w:p>
        </w:tc>
      </w:tr>
      <w:tr>
        <w:tblPrEx>
          <w:tblCellMar>
            <w:top w:w="0" w:type="dxa"/>
            <w:left w:w="108" w:type="dxa"/>
            <w:bottom w:w="0" w:type="dxa"/>
            <w:right w:w="108" w:type="dxa"/>
          </w:tblCellMar>
        </w:tblPrEx>
        <w:trPr>
          <w:trHeight w:val="480"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7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专家诊断性检查</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每年</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排查因专业性不足未发现的隐患</w:t>
            </w:r>
          </w:p>
        </w:tc>
        <w:tc>
          <w:tcPr>
            <w:tcW w:w="1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专家会诊查找隐患</w:t>
            </w:r>
          </w:p>
        </w:tc>
        <w:tc>
          <w:tcPr>
            <w:tcW w:w="2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重大风险点和安全管理</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公司</w:t>
            </w:r>
          </w:p>
        </w:tc>
        <w:tc>
          <w:tcPr>
            <w:tcW w:w="1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专家团队</w:t>
            </w:r>
          </w:p>
        </w:tc>
      </w:tr>
      <w:tr>
        <w:tblPrEx>
          <w:tblCellMar>
            <w:top w:w="0" w:type="dxa"/>
            <w:left w:w="108" w:type="dxa"/>
            <w:bottom w:w="0" w:type="dxa"/>
            <w:right w:w="108" w:type="dxa"/>
          </w:tblCellMar>
        </w:tblPrEx>
        <w:trPr>
          <w:trHeight w:val="480"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7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事故类比隐患排查</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不定期</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防止同类安全事故发生</w:t>
            </w:r>
          </w:p>
        </w:tc>
        <w:tc>
          <w:tcPr>
            <w:tcW w:w="1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举一反三杜绝隐患事故</w:t>
            </w:r>
          </w:p>
        </w:tc>
        <w:tc>
          <w:tcPr>
            <w:tcW w:w="2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同类事故发生的区域内各风险点</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公司</w:t>
            </w:r>
          </w:p>
        </w:tc>
        <w:tc>
          <w:tcPr>
            <w:tcW w:w="1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公司、部门、车间安全管理人员</w:t>
            </w:r>
          </w:p>
        </w:tc>
      </w:tr>
    </w:tbl>
    <w:p>
      <w:pPr>
        <w:pStyle w:val="8"/>
        <w:rPr>
          <w:rFonts w:hint="eastAsia"/>
        </w:rPr>
      </w:pPr>
    </w:p>
    <w:p>
      <w:pPr>
        <w:pStyle w:val="9"/>
        <w:numPr>
          <w:numId w:val="0"/>
        </w:numPr>
        <w:ind w:leftChars="0"/>
        <w:rPr>
          <w:rFonts w:hint="eastAsia"/>
        </w:rPr>
      </w:pPr>
      <w:bookmarkStart w:id="76" w:name="_Toc481293251"/>
      <w:bookmarkStart w:id="77" w:name="_Toc16211"/>
      <w:bookmarkStart w:id="78" w:name="_Toc481293785"/>
      <w:bookmarkStart w:id="79" w:name="_Toc479928013"/>
      <w:bookmarkStart w:id="80" w:name="_Toc479927959"/>
      <w:bookmarkStart w:id="81" w:name="_Toc479928503"/>
      <w:r>
        <w:rPr>
          <w:rFonts w:hint="eastAsia"/>
          <w:lang w:val="en-US" w:eastAsia="zh-CN"/>
        </w:rPr>
        <w:t>4.3</w:t>
      </w:r>
      <w:r>
        <w:rPr>
          <w:rFonts w:hint="eastAsia"/>
        </w:rPr>
        <w:t>隐患排查</w:t>
      </w:r>
      <w:bookmarkEnd w:id="76"/>
      <w:bookmarkEnd w:id="77"/>
      <w:bookmarkEnd w:id="78"/>
      <w:bookmarkEnd w:id="79"/>
      <w:bookmarkEnd w:id="80"/>
      <w:bookmarkEnd w:id="81"/>
    </w:p>
    <w:p>
      <w:pPr>
        <w:pStyle w:val="10"/>
        <w:numPr>
          <w:numId w:val="0"/>
        </w:numPr>
        <w:spacing w:before="156" w:after="156"/>
        <w:ind w:leftChars="0"/>
        <w:rPr>
          <w:rFonts w:hint="eastAsia"/>
        </w:rPr>
      </w:pPr>
      <w:r>
        <w:rPr>
          <w:rFonts w:hint="eastAsia"/>
          <w:lang w:val="en-US" w:eastAsia="zh-CN"/>
        </w:rPr>
        <w:t>4.3.1</w:t>
      </w:r>
      <w:r>
        <w:rPr>
          <w:rFonts w:hint="eastAsia"/>
        </w:rPr>
        <w:t>排查类型</w:t>
      </w:r>
    </w:p>
    <w:p>
      <w:pPr>
        <w:pStyle w:val="8"/>
        <w:spacing w:beforeLines="50" w:afterLines="50"/>
        <w:rPr>
          <w:rFonts w:hint="eastAsia"/>
        </w:rPr>
      </w:pPr>
      <w:r>
        <w:rPr>
          <w:rFonts w:hint="eastAsia"/>
        </w:rPr>
        <w:t>企业隐患排查类型参照</w:t>
      </w:r>
      <w:r>
        <w:rPr>
          <w:rFonts w:hint="eastAsia"/>
          <w:lang w:eastAsia="zh-CN"/>
        </w:rPr>
        <w:t>《XX工贸企业双重预防机制建设验收评分细则》</w:t>
      </w:r>
      <w:bookmarkStart w:id="107" w:name="_GoBack"/>
      <w:bookmarkEnd w:id="107"/>
      <w:r>
        <w:rPr>
          <w:rFonts w:hint="eastAsia"/>
        </w:rPr>
        <w:t>生产安全事故隐患排查治理体系要求进行分类分层级实施。</w:t>
      </w:r>
    </w:p>
    <w:p>
      <w:pPr>
        <w:pStyle w:val="10"/>
        <w:numPr>
          <w:numId w:val="0"/>
        </w:numPr>
        <w:spacing w:before="156" w:after="156"/>
        <w:ind w:leftChars="0"/>
        <w:rPr>
          <w:rFonts w:hint="eastAsia"/>
        </w:rPr>
      </w:pPr>
      <w:r>
        <w:rPr>
          <w:rFonts w:hint="eastAsia"/>
          <w:lang w:val="en-US" w:eastAsia="zh-CN"/>
        </w:rPr>
        <w:t>4.3.2</w:t>
      </w:r>
      <w:r>
        <w:rPr>
          <w:rFonts w:hint="eastAsia"/>
        </w:rPr>
        <w:t>排查要求</w:t>
      </w:r>
    </w:p>
    <w:p>
      <w:pPr>
        <w:pStyle w:val="8"/>
        <w:spacing w:beforeLines="50" w:afterLines="50"/>
        <w:rPr>
          <w:rFonts w:hint="eastAsia"/>
        </w:rPr>
      </w:pPr>
      <w:r>
        <w:rPr>
          <w:rFonts w:hint="eastAsia"/>
        </w:rPr>
        <w:t>各类型隐患排查，按照排查计划确定的排查点、排查周期，可以通过访谈、查阅文件和记录、现场观察、仪器测量的方式获取信息，并判断是否存在隐患。每次排查可以针对排查周期规定的排查点进行，也可以随时增加相关的内容。要做到全面覆盖、责任到人,定期排查与日常排查相结合，专业排查与综合排查相结合，一般排查与重点排查相结合，隐患排查的结果与安全目标责任考核挂钩。</w:t>
      </w:r>
    </w:p>
    <w:p>
      <w:pPr>
        <w:pStyle w:val="8"/>
        <w:spacing w:beforeLines="50" w:afterLines="50"/>
        <w:rPr>
          <w:rFonts w:hint="eastAsia"/>
        </w:rPr>
      </w:pPr>
      <w:r>
        <w:rPr>
          <w:rFonts w:hint="eastAsia"/>
        </w:rPr>
        <w:t>在排查过程中，无论是否是本次排查周期排查点，无论是否在职责范围内，如果发现隐患，均应提出整改要求，并进行有效沟通。要做到全面覆盖、责任到人,定期排查与日常排查相结合，专业排查与综合排查相结合，一般排查与重点排查相结合，隐患排查的结果与安全目标责任考核挂钩。</w:t>
      </w:r>
    </w:p>
    <w:p>
      <w:pPr>
        <w:pStyle w:val="10"/>
        <w:numPr>
          <w:numId w:val="0"/>
        </w:numPr>
        <w:spacing w:before="156" w:after="156"/>
        <w:ind w:leftChars="0"/>
        <w:rPr>
          <w:rFonts w:hint="eastAsia"/>
        </w:rPr>
      </w:pPr>
      <w:r>
        <w:rPr>
          <w:rFonts w:hint="eastAsia"/>
          <w:lang w:val="en-US" w:eastAsia="zh-CN"/>
        </w:rPr>
        <w:t>4.3.3</w:t>
      </w:r>
      <w:r>
        <w:rPr>
          <w:rFonts w:hint="eastAsia"/>
        </w:rPr>
        <w:t>组织级别</w:t>
      </w:r>
    </w:p>
    <w:p>
      <w:pPr>
        <w:pStyle w:val="8"/>
        <w:spacing w:beforeLines="50" w:afterLines="50"/>
        <w:rPr>
          <w:rFonts w:hint="eastAsia"/>
        </w:rPr>
      </w:pPr>
      <w:r>
        <w:rPr>
          <w:rFonts w:hint="eastAsia"/>
        </w:rPr>
        <w:t>企业参照</w:t>
      </w:r>
      <w:r>
        <w:rPr>
          <w:rFonts w:hint="eastAsia"/>
          <w:lang w:eastAsia="zh-CN"/>
        </w:rPr>
        <w:t>《XX工贸企业双重预防机制建设验收评分细则》</w:t>
      </w:r>
      <w:r>
        <w:rPr>
          <w:rFonts w:hint="eastAsia"/>
        </w:rPr>
        <w:t>生产安全事故隐患排查治理体系细则要求划分本企业隐患排查组织级别。</w:t>
      </w:r>
    </w:p>
    <w:p>
      <w:pPr>
        <w:pStyle w:val="10"/>
        <w:numPr>
          <w:numId w:val="0"/>
        </w:numPr>
        <w:spacing w:before="156" w:after="156"/>
        <w:ind w:leftChars="0"/>
        <w:rPr>
          <w:rFonts w:hint="eastAsia"/>
        </w:rPr>
      </w:pPr>
      <w:r>
        <w:rPr>
          <w:rFonts w:hint="eastAsia"/>
          <w:lang w:val="en-US" w:eastAsia="zh-CN"/>
        </w:rPr>
        <w:t>4.3.4</w:t>
      </w:r>
      <w:r>
        <w:rPr>
          <w:rFonts w:hint="eastAsia"/>
        </w:rPr>
        <w:t>排查周期</w:t>
      </w:r>
    </w:p>
    <w:p>
      <w:pPr>
        <w:pStyle w:val="8"/>
        <w:spacing w:beforeLines="50" w:afterLines="50"/>
        <w:rPr>
          <w:rFonts w:hint="eastAsia"/>
        </w:rPr>
      </w:pPr>
      <w:r>
        <w:rPr>
          <w:rFonts w:hint="eastAsia"/>
        </w:rPr>
        <w:t>企业结合企业生产工艺特点根据危险源和风险点特性，以及相关法律、法规要求，确定各种隐患排查类型的排查周期，包括：当班巡查、每天检查、每周排查、每月排查、每季度排查和每年排查等周期。隐患排查周期可根据安全形势的变化、上级主管部门要求等情况适当增加。</w:t>
      </w:r>
    </w:p>
    <w:p>
      <w:pPr>
        <w:pStyle w:val="8"/>
        <w:spacing w:beforeLines="50" w:afterLines="50"/>
        <w:rPr>
          <w:rFonts w:hint="eastAsia"/>
        </w:rPr>
      </w:pPr>
      <w:r>
        <w:rPr>
          <w:rFonts w:hint="eastAsia"/>
        </w:rPr>
        <w:t>企业进行隐患排查的周期应满足：</w:t>
      </w:r>
    </w:p>
    <w:p>
      <w:pPr>
        <w:pStyle w:val="8"/>
        <w:spacing w:beforeLines="50" w:afterLines="50"/>
        <w:rPr>
          <w:rFonts w:hint="eastAsia"/>
        </w:rPr>
      </w:pPr>
      <w:bookmarkStart w:id="82" w:name="_Toc458179579"/>
      <w:r>
        <w:rPr>
          <w:rFonts w:hint="eastAsia"/>
        </w:rPr>
        <w:t>（</w:t>
      </w:r>
      <w:r>
        <w:t>1</w:t>
      </w:r>
      <w:r>
        <w:rPr>
          <w:rFonts w:hint="eastAsia"/>
        </w:rPr>
        <w:t>）班组及岗位作业人员应进行当班岗位安全巡查及设备点检等；</w:t>
      </w:r>
      <w:bookmarkEnd w:id="82"/>
    </w:p>
    <w:p>
      <w:pPr>
        <w:pStyle w:val="8"/>
        <w:spacing w:beforeLines="50" w:afterLines="50"/>
        <w:rPr>
          <w:rFonts w:hint="eastAsia"/>
        </w:rPr>
      </w:pPr>
      <w:r>
        <w:rPr>
          <w:rFonts w:hint="eastAsia"/>
        </w:rPr>
        <w:t>（2）车间级隐患排查可根据各自不同的生产工艺特点，由设备、安全管理人员每天至少一次对装置现场及作业活动进行相关检查；</w:t>
      </w:r>
    </w:p>
    <w:p>
      <w:pPr>
        <w:pStyle w:val="8"/>
        <w:spacing w:beforeLines="50" w:afterLines="50"/>
        <w:rPr>
          <w:rFonts w:hint="eastAsia"/>
        </w:rPr>
      </w:pPr>
      <w:r>
        <w:rPr>
          <w:rFonts w:hint="eastAsia"/>
        </w:rPr>
        <w:t xml:space="preserve">（3）工艺、设备、电气、仪表等专业技术人员至少每周组织一次专业性隐患排查； </w:t>
      </w:r>
    </w:p>
    <w:p>
      <w:pPr>
        <w:pStyle w:val="8"/>
        <w:spacing w:beforeLines="50" w:afterLines="50"/>
        <w:rPr>
          <w:rFonts w:hint="eastAsia"/>
        </w:rPr>
      </w:pPr>
      <w:r>
        <w:rPr>
          <w:rFonts w:hint="eastAsia"/>
        </w:rPr>
        <w:t>（4）企业分管领导带队组织安全、生产、技术等职能部门应每月至少开展一次有针对性专项隐患排查；</w:t>
      </w:r>
    </w:p>
    <w:p>
      <w:pPr>
        <w:pStyle w:val="8"/>
        <w:spacing w:beforeLines="50" w:afterLines="50"/>
        <w:rPr>
          <w:rFonts w:hint="eastAsia"/>
        </w:rPr>
      </w:pPr>
      <w:r>
        <w:rPr>
          <w:rFonts w:hint="eastAsia"/>
        </w:rPr>
        <w:t>（5）公司安委会组织各部门安委会成员应至少每季度进行一次综合性隐患排查；</w:t>
      </w:r>
    </w:p>
    <w:p>
      <w:pPr>
        <w:pStyle w:val="8"/>
        <w:spacing w:beforeLines="50" w:afterLines="50"/>
        <w:rPr>
          <w:rFonts w:hint="eastAsia"/>
        </w:rPr>
      </w:pPr>
      <w:r>
        <w:rPr>
          <w:rFonts w:hint="eastAsia"/>
        </w:rPr>
        <w:t>（6）涉及节假日、检修、抢修、开停机等间断性出现的风险，可针对其特点制定专项排查表；</w:t>
      </w:r>
    </w:p>
    <w:p>
      <w:pPr>
        <w:pStyle w:val="8"/>
        <w:spacing w:beforeLines="50" w:afterLines="50"/>
        <w:rPr>
          <w:rFonts w:hint="eastAsia"/>
        </w:rPr>
      </w:pPr>
      <w:r>
        <w:rPr>
          <w:rFonts w:hint="eastAsia"/>
        </w:rPr>
        <w:t>（7）根据季节性特征及本企业的生产实际，每季度开展一次有针对性的季节性隐患排查；</w:t>
      </w:r>
    </w:p>
    <w:p>
      <w:pPr>
        <w:pStyle w:val="8"/>
        <w:spacing w:beforeLines="50" w:afterLines="50"/>
        <w:rPr>
          <w:rFonts w:hint="eastAsia"/>
        </w:rPr>
      </w:pPr>
      <w:r>
        <w:rPr>
          <w:rFonts w:hint="eastAsia"/>
        </w:rPr>
        <w:t>（8）隐患排查周期可根据安全形势的变化、上级主管部门要求等情况，增加隐患排查的频次。</w:t>
      </w:r>
    </w:p>
    <w:p>
      <w:pPr>
        <w:pStyle w:val="8"/>
        <w:spacing w:beforeLines="50" w:afterLines="50"/>
        <w:rPr>
          <w:rFonts w:hint="eastAsia"/>
        </w:rPr>
      </w:pPr>
      <w:r>
        <w:rPr>
          <w:rFonts w:hint="eastAsia"/>
        </w:rPr>
        <w:t>企业也可参照</w:t>
      </w:r>
      <w:r>
        <w:rPr>
          <w:rFonts w:hint="eastAsia"/>
          <w:lang w:eastAsia="zh-CN"/>
        </w:rPr>
        <w:t>《XX工贸企业双重预防机制建设验收评分细则》</w:t>
      </w:r>
      <w:r>
        <w:rPr>
          <w:rFonts w:hint="eastAsia"/>
        </w:rPr>
        <w:t>内容适当增加隐患排查项目和排查周期。</w:t>
      </w:r>
    </w:p>
    <w:p>
      <w:pPr>
        <w:pStyle w:val="10"/>
        <w:numPr>
          <w:numId w:val="0"/>
        </w:numPr>
        <w:spacing w:before="156" w:after="156"/>
        <w:ind w:leftChars="0"/>
        <w:rPr>
          <w:rFonts w:hint="eastAsia"/>
        </w:rPr>
      </w:pPr>
      <w:r>
        <w:rPr>
          <w:rFonts w:hint="eastAsia"/>
          <w:lang w:val="en-US" w:eastAsia="zh-CN"/>
        </w:rPr>
        <w:t>4.3.5</w:t>
      </w:r>
      <w:r>
        <w:rPr>
          <w:rFonts w:hint="eastAsia"/>
        </w:rPr>
        <w:t>确定排查项目</w:t>
      </w:r>
    </w:p>
    <w:p>
      <w:pPr>
        <w:pStyle w:val="8"/>
        <w:spacing w:beforeLines="50" w:afterLines="50"/>
        <w:rPr>
          <w:rFonts w:hint="eastAsia"/>
        </w:rPr>
      </w:pPr>
      <w:r>
        <w:rPr>
          <w:rFonts w:hint="eastAsia"/>
        </w:rPr>
        <w:t>实施隐患排查前，应根据排查类型、人员数量、时间安排和季节特点，在排查项目清单中选择确定具有针对性的具体排查项目，作为此次隐患排查的内容。隐患排查分为生产现场类隐患排查或基础管理类隐患排查，两类隐患排查可同时进行。</w:t>
      </w:r>
    </w:p>
    <w:p>
      <w:pPr>
        <w:pStyle w:val="10"/>
        <w:numPr>
          <w:numId w:val="0"/>
        </w:numPr>
        <w:spacing w:before="156" w:after="156"/>
        <w:ind w:leftChars="0"/>
        <w:rPr>
          <w:rFonts w:hint="eastAsia"/>
        </w:rPr>
      </w:pPr>
      <w:r>
        <w:rPr>
          <w:rFonts w:hint="eastAsia"/>
          <w:lang w:val="en-US" w:eastAsia="zh-CN"/>
        </w:rPr>
        <w:t>4.3.6</w:t>
      </w:r>
      <w:r>
        <w:rPr>
          <w:rFonts w:hint="eastAsia"/>
        </w:rPr>
        <w:t>排查结果记录</w:t>
      </w:r>
    </w:p>
    <w:p>
      <w:pPr>
        <w:pStyle w:val="8"/>
        <w:spacing w:beforeLines="50" w:afterLines="50"/>
        <w:rPr>
          <w:rFonts w:hint="eastAsia"/>
        </w:rPr>
      </w:pPr>
      <w:bookmarkStart w:id="83" w:name="_Toc479927960"/>
      <w:bookmarkStart w:id="84" w:name="_Toc479928504"/>
      <w:bookmarkStart w:id="85" w:name="_Toc479928014"/>
      <w:r>
        <w:rPr>
          <w:rFonts w:hint="eastAsia"/>
        </w:rPr>
        <w:t>企业各车间、部门及相关层级的组织部门应对照本企业确定的排查项目清单进行隐患排查，并记录登记隐患排查治理台账（参见附录B/D）。建议企业对生产现场类隐患留影像，以作备案记录。</w:t>
      </w:r>
    </w:p>
    <w:p>
      <w:pPr>
        <w:pStyle w:val="9"/>
        <w:numPr>
          <w:numId w:val="0"/>
        </w:numPr>
        <w:ind w:leftChars="0"/>
        <w:rPr>
          <w:rFonts w:hint="eastAsia"/>
        </w:rPr>
      </w:pPr>
      <w:bookmarkStart w:id="86" w:name="_Toc481293252"/>
      <w:bookmarkStart w:id="87" w:name="_Toc30157"/>
      <w:bookmarkStart w:id="88" w:name="_Toc481293786"/>
      <w:r>
        <w:rPr>
          <w:rFonts w:hint="eastAsia"/>
          <w:lang w:val="en-US" w:eastAsia="zh-CN"/>
        </w:rPr>
        <w:t>4.4</w:t>
      </w:r>
      <w:r>
        <w:rPr>
          <w:rFonts w:hint="eastAsia"/>
        </w:rPr>
        <w:t>隐患治理</w:t>
      </w:r>
      <w:bookmarkEnd w:id="83"/>
      <w:bookmarkEnd w:id="84"/>
      <w:bookmarkEnd w:id="85"/>
      <w:bookmarkEnd w:id="86"/>
      <w:bookmarkEnd w:id="87"/>
      <w:bookmarkEnd w:id="88"/>
    </w:p>
    <w:p>
      <w:pPr>
        <w:pStyle w:val="10"/>
        <w:numPr>
          <w:numId w:val="0"/>
        </w:numPr>
        <w:spacing w:before="156" w:after="156"/>
        <w:ind w:leftChars="0"/>
      </w:pPr>
      <w:bookmarkStart w:id="89" w:name="_Toc479927961"/>
      <w:bookmarkStart w:id="90" w:name="_Toc479928505"/>
      <w:bookmarkStart w:id="91" w:name="_Toc479928015"/>
      <w:r>
        <w:rPr>
          <w:rFonts w:hint="eastAsia"/>
          <w:lang w:val="en-US" w:eastAsia="zh-CN"/>
        </w:rPr>
        <w:t>4.4.1</w:t>
      </w:r>
      <w:r>
        <w:rPr>
          <w:rFonts w:hint="eastAsia"/>
        </w:rPr>
        <w:t>隐患治理建议</w:t>
      </w:r>
    </w:p>
    <w:p>
      <w:pPr>
        <w:pStyle w:val="8"/>
        <w:spacing w:beforeLines="50" w:afterLines="50"/>
        <w:rPr>
          <w:rFonts w:hint="eastAsia"/>
        </w:rPr>
      </w:pPr>
      <w:r>
        <w:rPr>
          <w:rFonts w:hint="eastAsia"/>
        </w:rPr>
        <w:t>企业各类型隐患排查中查出的隐患，由隐患排查组织部门提出隐患治理建议。能立即整改的隐患应立即整改，对于当场不能立即整改的，隐患排查组织部门填写隐患整改通知单，下发至隐患所在位置责任部门进行整改。具体要求参照</w:t>
      </w:r>
      <w:r>
        <w:rPr>
          <w:rFonts w:hint="eastAsia"/>
          <w:lang w:eastAsia="zh-CN"/>
        </w:rPr>
        <w:t>《XX工贸企业双重预防机制建设验收评分细则》</w:t>
      </w:r>
      <w:r>
        <w:rPr>
          <w:rFonts w:hint="eastAsia"/>
        </w:rPr>
        <w:t>。</w:t>
      </w:r>
    </w:p>
    <w:p>
      <w:pPr>
        <w:pStyle w:val="10"/>
        <w:numPr>
          <w:numId w:val="0"/>
        </w:numPr>
        <w:spacing w:before="156" w:after="156"/>
        <w:ind w:leftChars="0"/>
        <w:rPr>
          <w:rFonts w:hint="eastAsia"/>
        </w:rPr>
      </w:pPr>
      <w:r>
        <w:rPr>
          <w:rFonts w:hint="eastAsia"/>
          <w:lang w:val="en-US" w:eastAsia="zh-CN"/>
        </w:rPr>
        <w:t>4.4.2</w:t>
      </w:r>
      <w:r>
        <w:rPr>
          <w:rFonts w:hint="eastAsia"/>
        </w:rPr>
        <w:t>隐患治理要求</w:t>
      </w:r>
    </w:p>
    <w:p>
      <w:pPr>
        <w:pStyle w:val="8"/>
        <w:spacing w:beforeLines="50" w:afterLines="50"/>
        <w:rPr>
          <w:rFonts w:hint="eastAsia"/>
        </w:rPr>
      </w:pPr>
      <w:r>
        <w:rPr>
          <w:rFonts w:hint="eastAsia"/>
        </w:rPr>
        <w:t>企业按照</w:t>
      </w:r>
      <w:r>
        <w:rPr>
          <w:rFonts w:hint="eastAsia"/>
          <w:lang w:eastAsia="zh-CN"/>
        </w:rPr>
        <w:t>《XX工贸企业双重预防机制建设验收评分细则》</w:t>
      </w:r>
      <w:r>
        <w:rPr>
          <w:rFonts w:hint="eastAsia"/>
        </w:rPr>
        <w:t>内容要求进行隐患治理，同时严格落实“四级管理”(公司、部门、车间、班组)，“三定”（定整改措施、定完成期限、定责任人）、“四不推”（岗位能解决的不推到班组，班组能解决的不推到车间，车间能解决的不推到部门，部门能解决的不推到公司）的原则。对于因违章、违纪造成的隐患要坚持“四不放过”原则，即违章、违纪原因未查清不放过，当事人和群众没有受到教育不放过，违章、违纪责任人未受到处理不放过，没有制订切实可行的预防措施不放过。</w:t>
      </w:r>
    </w:p>
    <w:p>
      <w:pPr>
        <w:pStyle w:val="10"/>
        <w:numPr>
          <w:numId w:val="0"/>
        </w:numPr>
        <w:spacing w:before="156" w:after="156"/>
        <w:ind w:leftChars="0"/>
        <w:rPr>
          <w:rFonts w:hint="eastAsia"/>
        </w:rPr>
      </w:pPr>
      <w:r>
        <w:rPr>
          <w:rFonts w:hint="eastAsia"/>
          <w:lang w:val="en-US" w:eastAsia="zh-CN"/>
        </w:rPr>
        <w:t>4.4.3</w:t>
      </w:r>
      <w:r>
        <w:rPr>
          <w:rFonts w:hint="eastAsia"/>
        </w:rPr>
        <w:t>隐患治理流程</w:t>
      </w:r>
    </w:p>
    <w:p>
      <w:pPr>
        <w:pStyle w:val="8"/>
        <w:spacing w:beforeLines="50" w:afterLines="50"/>
        <w:rPr>
          <w:rFonts w:hint="eastAsia"/>
        </w:rPr>
      </w:pPr>
      <w:r>
        <w:rPr>
          <w:rFonts w:hint="eastAsia"/>
        </w:rPr>
        <w:t>企业按照</w:t>
      </w:r>
      <w:r>
        <w:rPr>
          <w:rFonts w:hint="eastAsia"/>
          <w:lang w:eastAsia="zh-CN"/>
        </w:rPr>
        <w:t>《XX工贸企业双重预防机制建设验收评分细则》</w:t>
      </w:r>
      <w:r>
        <w:rPr>
          <w:rFonts w:hint="eastAsia"/>
        </w:rPr>
        <w:t>要求建立隐患治理流程。企业按照隐患治理流程实施治理过程中对于当场不能立即整改的隐患制定临时防范措施并予以实施。</w:t>
      </w:r>
    </w:p>
    <w:p>
      <w:pPr>
        <w:pStyle w:val="10"/>
        <w:numPr>
          <w:numId w:val="0"/>
        </w:numPr>
        <w:spacing w:before="156" w:after="156"/>
        <w:ind w:leftChars="0"/>
        <w:rPr>
          <w:rFonts w:hint="eastAsia"/>
        </w:rPr>
      </w:pPr>
      <w:r>
        <w:rPr>
          <w:rFonts w:hint="eastAsia"/>
          <w:lang w:val="en-US" w:eastAsia="zh-CN"/>
        </w:rPr>
        <w:t>4.4.4</w:t>
      </w:r>
      <w:r>
        <w:rPr>
          <w:rFonts w:hint="eastAsia"/>
        </w:rPr>
        <w:t>一般隐患治理</w:t>
      </w:r>
    </w:p>
    <w:p>
      <w:pPr>
        <w:pStyle w:val="8"/>
        <w:spacing w:beforeLines="50" w:afterLines="50"/>
        <w:rPr>
          <w:rFonts w:hint="eastAsia"/>
        </w:rPr>
      </w:pPr>
      <w:r>
        <w:rPr>
          <w:rFonts w:hint="eastAsia"/>
        </w:rPr>
        <w:t>一般隐患治理由企业隐患排查组织部门汇总隐患排查信息，编制隐患整改计划，通过企业信息平台下发，信息汇总包括问题描述、所属环节、隐患风险级别、整改措施、责任人、责任部门、整改日期等。整改难度较大、时间较长的隐患，按照管控层级下发隐患整改通知单，由责任部门或者责任人员组织整改。</w:t>
      </w:r>
    </w:p>
    <w:p>
      <w:pPr>
        <w:pStyle w:val="10"/>
        <w:numPr>
          <w:numId w:val="0"/>
        </w:numPr>
        <w:spacing w:before="156" w:after="156"/>
        <w:ind w:leftChars="0"/>
        <w:rPr>
          <w:rFonts w:hint="eastAsia"/>
        </w:rPr>
      </w:pPr>
      <w:r>
        <w:rPr>
          <w:rFonts w:hint="eastAsia"/>
          <w:lang w:val="en-US" w:eastAsia="zh-CN"/>
        </w:rPr>
        <w:t>4.4.5</w:t>
      </w:r>
      <w:r>
        <w:rPr>
          <w:rFonts w:hint="eastAsia"/>
        </w:rPr>
        <w:t>重大隐患治理</w:t>
      </w:r>
    </w:p>
    <w:p>
      <w:pPr>
        <w:pStyle w:val="11"/>
        <w:spacing w:before="156" w:after="156"/>
        <w:ind w:firstLine="480" w:firstLineChars="200"/>
        <w:rPr>
          <w:rFonts w:hint="eastAsia"/>
        </w:rPr>
      </w:pPr>
      <w:r>
        <w:rPr>
          <w:rFonts w:hint="eastAsia"/>
          <w:lang w:val="en-US" w:eastAsia="zh-CN"/>
        </w:rPr>
        <w:t>4.</w:t>
      </w:r>
      <w:r>
        <w:rPr>
          <w:rFonts w:hint="eastAsia"/>
        </w:rPr>
        <w:t>4.5.1 隐患评估</w:t>
      </w:r>
    </w:p>
    <w:p>
      <w:pPr>
        <w:pStyle w:val="8"/>
        <w:spacing w:beforeLines="50" w:afterLines="50"/>
        <w:rPr>
          <w:rFonts w:hint="eastAsia"/>
        </w:rPr>
      </w:pPr>
      <w:r>
        <w:rPr>
          <w:rFonts w:hint="eastAsia"/>
        </w:rPr>
        <w:t>依据标准判定属于重大事故隐患的，企业应当按照</w:t>
      </w:r>
      <w:r>
        <w:rPr>
          <w:rFonts w:hint="eastAsia"/>
          <w:lang w:eastAsia="zh-CN"/>
        </w:rPr>
        <w:t>《XX工贸企业双重预防机制建设验收评分细则》</w:t>
      </w:r>
      <w:r>
        <w:rPr>
          <w:rFonts w:hint="eastAsia"/>
        </w:rPr>
        <w:t>生产安全事故隐患排查治理体系细则进行隐患评估，编写评估报告书。</w:t>
      </w:r>
    </w:p>
    <w:p>
      <w:pPr>
        <w:pStyle w:val="11"/>
        <w:spacing w:before="156" w:after="156"/>
        <w:ind w:firstLine="480" w:firstLineChars="200"/>
        <w:rPr>
          <w:rFonts w:hint="eastAsia"/>
        </w:rPr>
      </w:pPr>
      <w:r>
        <w:rPr>
          <w:rFonts w:hint="eastAsia"/>
          <w:lang w:val="en-US" w:eastAsia="zh-CN"/>
        </w:rPr>
        <w:t>4</w:t>
      </w:r>
      <w:r>
        <w:rPr>
          <w:rFonts w:hint="eastAsia"/>
        </w:rPr>
        <w:t>.4.5.2 治理方案</w:t>
      </w:r>
    </w:p>
    <w:p>
      <w:pPr>
        <w:pStyle w:val="8"/>
        <w:spacing w:beforeLines="50" w:afterLines="50"/>
        <w:rPr>
          <w:rFonts w:hint="eastAsia"/>
        </w:rPr>
      </w:pPr>
      <w:r>
        <w:rPr>
          <w:rFonts w:hint="eastAsia"/>
        </w:rPr>
        <w:t>企业应根据评估报告书和</w:t>
      </w:r>
      <w:r>
        <w:rPr>
          <w:rFonts w:hint="eastAsia"/>
          <w:lang w:eastAsia="zh-CN"/>
        </w:rPr>
        <w:t>《XX工贸企业双重预防机制建设验收评分细则》</w:t>
      </w:r>
      <w:r>
        <w:rPr>
          <w:rFonts w:hint="eastAsia"/>
        </w:rPr>
        <w:t>要求制定重大隐患治理方案，重大隐患方案制定后，责任部门应进行现场公示，同时将重大事故隐患评估报告书和治理方案上报企业主要负责人进行审批治理。治理过程中责任部门要及时向企业负责人汇报整改进度，安全部门要对安全和应急措施落实情况进行监督，避免整改治理期间重大隐患发生安全事故。</w:t>
      </w:r>
    </w:p>
    <w:p>
      <w:pPr>
        <w:pStyle w:val="8"/>
        <w:spacing w:beforeLines="50" w:afterLines="50"/>
        <w:rPr>
          <w:rFonts w:hint="eastAsia"/>
        </w:rPr>
      </w:pPr>
      <w:r>
        <w:rPr>
          <w:rFonts w:hint="eastAsia"/>
        </w:rPr>
        <w:t>针对不能及时整改且治理难度大、涉及范围广、危险程度高，有可能导致人身伤害或较大及以上事故经济损失的重大隐患，应立即制定临时防范措施应急预案，上报企业负责人。按照企业操作规程和事故应急预案等进行紧急处理，必要时应停机（停工、停产）撤人。同时将评估报告书和治理方案上报当地县市、区安全生产监督管理部门和其他主管部门。</w:t>
      </w:r>
    </w:p>
    <w:p>
      <w:pPr>
        <w:pStyle w:val="11"/>
        <w:spacing w:before="156" w:after="156"/>
        <w:ind w:firstLine="480" w:firstLineChars="200"/>
        <w:rPr>
          <w:rFonts w:hint="eastAsia"/>
        </w:rPr>
      </w:pPr>
      <w:r>
        <w:rPr>
          <w:rFonts w:hint="eastAsia"/>
          <w:lang w:val="en-US" w:eastAsia="zh-CN"/>
        </w:rPr>
        <w:t>4</w:t>
      </w:r>
      <w:r>
        <w:rPr>
          <w:rFonts w:hint="eastAsia"/>
        </w:rPr>
        <w:t>.4.5.3 治理实施</w:t>
      </w:r>
    </w:p>
    <w:p>
      <w:pPr>
        <w:pStyle w:val="8"/>
        <w:spacing w:beforeLines="50" w:afterLines="50"/>
        <w:rPr>
          <w:rFonts w:hint="eastAsia"/>
        </w:rPr>
      </w:pPr>
      <w:r>
        <w:rPr>
          <w:rFonts w:hint="eastAsia"/>
        </w:rPr>
        <w:t>企业应当按照</w:t>
      </w:r>
      <w:r>
        <w:rPr>
          <w:rFonts w:hint="eastAsia"/>
          <w:lang w:eastAsia="zh-CN"/>
        </w:rPr>
        <w:t>《XX工贸企业双重预防机制建设验收评分细则》</w:t>
      </w:r>
      <w:r>
        <w:rPr>
          <w:rFonts w:hint="eastAsia"/>
        </w:rPr>
        <w:t>生产安全事故隐患排查治理体系要求组织实施隐患治理。</w:t>
      </w:r>
    </w:p>
    <w:p>
      <w:pPr>
        <w:pStyle w:val="10"/>
        <w:numPr>
          <w:numId w:val="0"/>
        </w:numPr>
        <w:spacing w:before="156" w:after="156"/>
        <w:ind w:leftChars="0"/>
        <w:rPr>
          <w:rFonts w:hint="eastAsia"/>
        </w:rPr>
      </w:pPr>
      <w:r>
        <w:rPr>
          <w:rFonts w:hint="eastAsia"/>
          <w:lang w:val="en-US" w:eastAsia="zh-CN"/>
        </w:rPr>
        <w:t>4.4.6</w:t>
      </w:r>
      <w:r>
        <w:rPr>
          <w:rFonts w:hint="eastAsia"/>
        </w:rPr>
        <w:t>隐患治理验收</w:t>
      </w:r>
    </w:p>
    <w:p>
      <w:pPr>
        <w:pStyle w:val="8"/>
        <w:spacing w:beforeLines="50" w:afterLines="50"/>
      </w:pPr>
      <w:r>
        <w:rPr>
          <w:rFonts w:hint="eastAsia"/>
        </w:rPr>
        <w:t>企业隐患治理完成后，应根据隐患级别组织相关层级的人员对治理情况进行验收并出具验收意见，实现闭环管理。</w:t>
      </w:r>
    </w:p>
    <w:p>
      <w:pPr>
        <w:pStyle w:val="8"/>
        <w:spacing w:beforeLines="50" w:afterLines="50"/>
      </w:pPr>
      <w:r>
        <w:rPr>
          <w:rFonts w:hint="eastAsia"/>
        </w:rPr>
        <w:t>一般事故隐患治理完成后，按照《一般隐患登记及整改销号审批》的要求进行验证，并将整改情况记录在隐患排查治理台账，参见附录C、附录D。重大隐患治理工作结束后，企业应组织对治理情况进行复查评估。对政府督办的重大隐患，按有关规定执行。</w:t>
      </w:r>
    </w:p>
    <w:p>
      <w:pPr>
        <w:pStyle w:val="7"/>
        <w:numPr>
          <w:numId w:val="0"/>
        </w:numPr>
        <w:ind w:leftChars="0"/>
        <w:rPr>
          <w:rFonts w:hint="eastAsia"/>
        </w:rPr>
      </w:pPr>
      <w:bookmarkStart w:id="92" w:name="_Toc481293787"/>
      <w:bookmarkStart w:id="93" w:name="_Toc481293253"/>
      <w:bookmarkStart w:id="94" w:name="_Toc28864"/>
      <w:r>
        <w:rPr>
          <w:rFonts w:hint="eastAsia"/>
          <w:lang w:val="en-US" w:eastAsia="zh-CN"/>
        </w:rPr>
        <w:t>5</w:t>
      </w:r>
      <w:r>
        <w:rPr>
          <w:rFonts w:hint="eastAsia"/>
        </w:rPr>
        <w:t>文件管理</w:t>
      </w:r>
      <w:bookmarkEnd w:id="89"/>
      <w:bookmarkEnd w:id="90"/>
      <w:bookmarkEnd w:id="91"/>
      <w:bookmarkEnd w:id="92"/>
      <w:bookmarkEnd w:id="93"/>
      <w:bookmarkEnd w:id="94"/>
    </w:p>
    <w:p>
      <w:pPr>
        <w:pStyle w:val="8"/>
        <w:spacing w:beforeLines="50" w:afterLines="50"/>
        <w:rPr>
          <w:rFonts w:hint="eastAsia" w:ascii="仿宋" w:hAnsi="仿宋" w:eastAsia="仿宋"/>
        </w:rPr>
      </w:pPr>
      <w:r>
        <w:rPr>
          <w:rFonts w:hint="eastAsia"/>
        </w:rPr>
        <w:t>企业在隐患排查治理体系策划、实施及持续改进过程中，应完整保存体现隐患排查全过程的记录资料，并分类建档，隐患排查治理的记录至少保存一年。参见</w:t>
      </w:r>
      <w:r>
        <w:rPr>
          <w:rFonts w:hint="eastAsia"/>
          <w:lang w:eastAsia="zh-CN"/>
        </w:rPr>
        <w:t>《XX工贸企业双重预防机制建设验收评分细则》</w:t>
      </w:r>
      <w:r>
        <w:rPr>
          <w:rFonts w:hint="eastAsia"/>
        </w:rPr>
        <w:t>内容要求。</w:t>
      </w:r>
    </w:p>
    <w:p>
      <w:pPr>
        <w:pStyle w:val="7"/>
        <w:numPr>
          <w:numId w:val="0"/>
        </w:numPr>
        <w:ind w:leftChars="0"/>
        <w:rPr>
          <w:rFonts w:hint="eastAsia"/>
        </w:rPr>
      </w:pPr>
      <w:bookmarkStart w:id="95" w:name="_Toc479928506"/>
      <w:bookmarkStart w:id="96" w:name="_Toc481293788"/>
      <w:bookmarkStart w:id="97" w:name="_Toc481293254"/>
      <w:bookmarkStart w:id="98" w:name="_Toc479928016"/>
      <w:bookmarkStart w:id="99" w:name="_Toc479927962"/>
      <w:bookmarkStart w:id="100" w:name="_Toc5427"/>
      <w:r>
        <w:rPr>
          <w:rFonts w:hint="eastAsia"/>
          <w:lang w:val="en-US" w:eastAsia="zh-CN"/>
        </w:rPr>
        <w:t>6</w:t>
      </w:r>
      <w:r>
        <w:rPr>
          <w:rFonts w:hint="eastAsia"/>
        </w:rPr>
        <w:t>隐患排查治理效果</w:t>
      </w:r>
      <w:bookmarkEnd w:id="95"/>
      <w:bookmarkEnd w:id="96"/>
      <w:bookmarkEnd w:id="97"/>
      <w:bookmarkEnd w:id="98"/>
      <w:bookmarkEnd w:id="99"/>
      <w:bookmarkEnd w:id="100"/>
    </w:p>
    <w:p>
      <w:pPr>
        <w:pStyle w:val="8"/>
        <w:spacing w:beforeLines="50" w:afterLines="50"/>
        <w:rPr>
          <w:rFonts w:hint="eastAsia"/>
        </w:rPr>
      </w:pPr>
      <w:r>
        <w:rPr>
          <w:rFonts w:hint="eastAsia"/>
        </w:rPr>
        <w:t>企业隐患排查治理效果各项改进内容参照DB37/T 2883生产安全事故隐患排查治理体系通则第8章节内容。</w:t>
      </w:r>
    </w:p>
    <w:p>
      <w:pPr>
        <w:pStyle w:val="8"/>
        <w:spacing w:beforeLines="50" w:afterLines="50"/>
        <w:rPr>
          <w:rFonts w:hint="eastAsia"/>
        </w:rPr>
      </w:pPr>
      <w:bookmarkStart w:id="101" w:name="_Toc479927963"/>
      <w:bookmarkStart w:id="102" w:name="_Toc479928017"/>
      <w:bookmarkStart w:id="103" w:name="_Toc479928507"/>
      <w:bookmarkStart w:id="104" w:name="_Toc481293255"/>
      <w:bookmarkStart w:id="105" w:name="_Toc481293789"/>
      <w:r>
        <w:rPr>
          <w:rFonts w:hint="eastAsia"/>
        </w:rPr>
        <w:t>通过隐患排查治理体系的建设，做到各层级隐患排查有章可循、安全工作考核有据可依。促进提升企业整体安全管理水平，保障企业平安运营。</w:t>
      </w:r>
    </w:p>
    <w:p>
      <w:pPr>
        <w:pStyle w:val="7"/>
        <w:numPr>
          <w:numId w:val="0"/>
        </w:numPr>
        <w:ind w:leftChars="0"/>
        <w:rPr>
          <w:rFonts w:hint="eastAsia"/>
        </w:rPr>
      </w:pPr>
      <w:bookmarkStart w:id="106" w:name="_Toc22183"/>
      <w:r>
        <w:rPr>
          <w:rFonts w:hint="eastAsia"/>
          <w:lang w:val="en-US" w:eastAsia="zh-CN"/>
        </w:rPr>
        <w:t>7</w:t>
      </w:r>
      <w:r>
        <w:rPr>
          <w:rFonts w:hint="eastAsia"/>
        </w:rPr>
        <w:t>持续改进</w:t>
      </w:r>
      <w:bookmarkEnd w:id="101"/>
      <w:bookmarkEnd w:id="102"/>
      <w:bookmarkEnd w:id="103"/>
      <w:bookmarkEnd w:id="104"/>
      <w:bookmarkEnd w:id="105"/>
      <w:bookmarkEnd w:id="106"/>
    </w:p>
    <w:p>
      <w:pPr>
        <w:pStyle w:val="8"/>
        <w:spacing w:beforeLines="50" w:afterLines="50"/>
        <w:rPr>
          <w:rFonts w:hint="eastAsia"/>
        </w:rPr>
      </w:pPr>
      <w:r>
        <w:rPr>
          <w:rFonts w:hint="eastAsia"/>
        </w:rPr>
        <w:t>企业应按照DB37/T 2883生产安全事故隐患排查治理体系通则第10章的规定执行。</w:t>
      </w:r>
    </w:p>
    <w:p>
      <w:pPr>
        <w:pStyle w:val="8"/>
        <w:spacing w:beforeLines="50" w:afterLines="50"/>
      </w:pPr>
      <w:r>
        <w:rPr>
          <w:rFonts w:hint="eastAsia"/>
        </w:rPr>
        <w:t>企业隐患排查治理体系持续改进评审的实施可结合企业安委会或安全领导机构会议进行，也可单独进行。建立职业健康安全管理体系或安全生产标准化的企业，也可结合职业健康安全管理体系的管理评审或安全生产标准化体系评审一起进行，评审结果内容、结论、措施等内容进行记录归档。领导团队对隐患排查治理体系的过程、关键节点、最终成果及整体运行进行绩效进行考核，作为持续改进的重要依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7"/>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57D3FBC"/>
    <w:multiLevelType w:val="multilevel"/>
    <w:tmpl w:val="657D3FBC"/>
    <w:lvl w:ilvl="0" w:tentative="0">
      <w:start w:val="1"/>
      <w:numFmt w:val="upperLetter"/>
      <w:pStyle w:val="1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1108"/>
    <w:rsid w:val="004D6FBB"/>
    <w:rsid w:val="006B1108"/>
    <w:rsid w:val="16B572E8"/>
    <w:rsid w:val="20281530"/>
    <w:rsid w:val="3FA839F3"/>
    <w:rsid w:val="4FAA355A"/>
    <w:rsid w:val="76640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tabs>
        <w:tab w:val="right" w:leader="dot" w:pos="9241"/>
      </w:tabs>
      <w:ind w:firstLine="102" w:firstLineChars="100"/>
      <w:jc w:val="left"/>
    </w:pPr>
    <w:rPr>
      <w:rFonts w:ascii="宋体"/>
      <w:szCs w:val="21"/>
    </w:rPr>
  </w:style>
  <w:style w:type="paragraph" w:styleId="3">
    <w:name w:val="toc 1"/>
    <w:basedOn w:val="1"/>
    <w:next w:val="1"/>
    <w:qFormat/>
    <w:uiPriority w:val="39"/>
    <w:pPr>
      <w:tabs>
        <w:tab w:val="right" w:leader="dot" w:pos="9241"/>
      </w:tabs>
      <w:spacing w:beforeLines="25" w:afterLines="25"/>
      <w:jc w:val="left"/>
    </w:pPr>
    <w:rPr>
      <w:rFonts w:ascii="宋体"/>
      <w:szCs w:val="21"/>
    </w:rPr>
  </w:style>
  <w:style w:type="character" w:styleId="6">
    <w:name w:val="Hyperlink"/>
    <w:qFormat/>
    <w:uiPriority w:val="99"/>
    <w:rPr>
      <w:color w:val="0000FF"/>
      <w:spacing w:val="0"/>
      <w:w w:val="100"/>
      <w:szCs w:val="21"/>
      <w:u w:val="single"/>
      <w:lang w:val="en-US" w:eastAsia="zh-CN"/>
    </w:rPr>
  </w:style>
  <w:style w:type="paragraph" w:customStyle="1" w:styleId="7">
    <w:name w:val="章标题"/>
    <w:next w:val="8"/>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8">
    <w:name w:val="段"/>
    <w:link w:val="12"/>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9">
    <w:name w:val="一级条标题"/>
    <w:next w:val="8"/>
    <w:qFormat/>
    <w:uiPriority w:val="0"/>
    <w:pPr>
      <w:spacing w:before="50" w:beforeLines="50" w:after="50" w:afterLines="50"/>
      <w:outlineLvl w:val="2"/>
    </w:pPr>
    <w:rPr>
      <w:rFonts w:ascii="黑体" w:hAnsi="黑体" w:eastAsia="黑体" w:cs="Times New Roman"/>
      <w:kern w:val="0"/>
      <w:sz w:val="28"/>
      <w:szCs w:val="21"/>
      <w:lang w:val="en-US" w:eastAsia="zh-CN" w:bidi="ar-SA"/>
    </w:rPr>
  </w:style>
  <w:style w:type="paragraph" w:customStyle="1" w:styleId="10">
    <w:name w:val="二级条标题"/>
    <w:basedOn w:val="9"/>
    <w:next w:val="8"/>
    <w:qFormat/>
    <w:uiPriority w:val="0"/>
    <w:pPr>
      <w:numPr>
        <w:ilvl w:val="2"/>
        <w:numId w:val="1"/>
      </w:numPr>
      <w:spacing w:before="50" w:after="50"/>
      <w:outlineLvl w:val="3"/>
    </w:pPr>
    <w:rPr>
      <w:sz w:val="24"/>
    </w:rPr>
  </w:style>
  <w:style w:type="paragraph" w:customStyle="1" w:styleId="11">
    <w:name w:val="三级条标题"/>
    <w:basedOn w:val="10"/>
    <w:next w:val="8"/>
    <w:qFormat/>
    <w:uiPriority w:val="0"/>
    <w:pPr>
      <w:numPr>
        <w:ilvl w:val="0"/>
        <w:numId w:val="0"/>
      </w:numPr>
      <w:outlineLvl w:val="4"/>
    </w:pPr>
  </w:style>
  <w:style w:type="character" w:customStyle="1" w:styleId="12">
    <w:name w:val="段 Char"/>
    <w:link w:val="8"/>
    <w:qFormat/>
    <w:uiPriority w:val="0"/>
    <w:rPr>
      <w:rFonts w:ascii="宋体" w:hAnsi="宋体" w:eastAsia="宋体"/>
      <w:sz w:val="24"/>
    </w:rPr>
  </w:style>
  <w:style w:type="paragraph" w:customStyle="1" w:styleId="13">
    <w:name w:val="目次、标准名称标题"/>
    <w:basedOn w:val="1"/>
    <w:next w:val="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4">
    <w:name w:val="附录标识"/>
    <w:basedOn w:val="1"/>
    <w:next w:val="8"/>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5">
    <w:name w:val="前言、引言标题"/>
    <w:next w:val="8"/>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character" w:customStyle="1" w:styleId="16">
    <w:name w:val="发布"/>
    <w:basedOn w:val="5"/>
    <w:qFormat/>
    <w:uiPriority w:val="0"/>
    <w:rPr>
      <w:rFonts w:ascii="黑体" w:eastAsia="黑体"/>
      <w:spacing w:val="85"/>
      <w:w w:val="100"/>
      <w:position w:val="3"/>
      <w:sz w:val="28"/>
      <w:szCs w:val="28"/>
    </w:rPr>
  </w:style>
  <w:style w:type="paragraph" w:customStyle="1" w:styleId="1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8">
    <w:name w:val="其他发布日期"/>
    <w:basedOn w:val="1"/>
    <w:qFormat/>
    <w:uiPriority w:val="0"/>
    <w:pPr>
      <w:framePr w:w="3997" w:h="471" w:hRule="exact" w:vSpace="181" w:wrap="around" w:vAnchor="page" w:hAnchor="text" w:x="1419" w:y="14097" w:anchorLock="1"/>
      <w:widowControl/>
      <w:jc w:val="left"/>
    </w:pPr>
    <w:rPr>
      <w:rFonts w:eastAsia="黑体"/>
      <w:kern w:val="0"/>
      <w:sz w:val="28"/>
      <w:szCs w:val="20"/>
    </w:rPr>
  </w:style>
  <w:style w:type="paragraph" w:customStyle="1" w:styleId="19">
    <w:name w:val="其他实施日期"/>
    <w:basedOn w:val="1"/>
    <w:qFormat/>
    <w:uiPriority w:val="0"/>
    <w:pPr>
      <w:framePr w:w="3997" w:h="471" w:hRule="exact" w:vSpace="181" w:wrap="around" w:vAnchor="page" w:hAnchor="text" w:x="7089" w:y="14097" w:anchorLock="1"/>
      <w:widowControl/>
      <w:jc w:val="right"/>
    </w:pPr>
    <w:rPr>
      <w:rFonts w:eastAsia="黑体"/>
      <w:kern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1442</Words>
  <Characters>8223</Characters>
  <Lines>68</Lines>
  <Paragraphs>19</Paragraphs>
  <TotalTime>16</TotalTime>
  <ScaleCrop>false</ScaleCrop>
  <LinksUpToDate>false</LinksUpToDate>
  <CharactersWithSpaces>9646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2018-12-03T07:07:00Z</dcterms:created>
  <dc:creator>Administrator</dc:creator>
  <cp:lastModifiedBy>玲俐</cp:lastModifiedBy>
  <dcterms:modified xsi:type="dcterms:W3CDTF">2021-04-13T06:05:36Z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4174FF5AEA9640D1932D1DF6AEF31D16</vt:lpwstr>
  </property>
</Properties>
</file>