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723" w:firstLineChars="200"/>
        <w:jc w:val="center"/>
        <w:textAlignment w:val="auto"/>
        <w:rPr>
          <w:rFonts w:hint="eastAsia" w:ascii="宋体" w:hAnsi="宋体" w:eastAsia="宋体" w:cs="宋体"/>
          <w:sz w:val="24"/>
          <w:szCs w:val="24"/>
        </w:rPr>
      </w:pPr>
      <w:r>
        <w:rPr>
          <w:rFonts w:hint="eastAsia" w:ascii="宋体" w:hAnsi="宋体" w:eastAsia="宋体" w:cs="宋体"/>
          <w:b/>
          <w:i w:val="0"/>
          <w:kern w:val="0"/>
          <w:sz w:val="36"/>
          <w:szCs w:val="36"/>
          <w:lang w:val="en-US" w:eastAsia="zh-CN" w:bidi="ar"/>
        </w:rPr>
        <w:t>中华人民共和国行政处罚法（2017年修正本）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公布机关： 全国人民代表大会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公布日期： 2017.09.01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施行日期： 2018.01.01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w:t>
      </w:r>
      <w:r>
        <w:rPr>
          <w:rFonts w:hint="eastAsia" w:ascii="Arial" w:hAnsi="Arial" w:eastAsia="宋体" w:cs="Arial"/>
          <w:i w:val="0"/>
          <w:caps w:val="0"/>
          <w:color w:val="333333"/>
          <w:spacing w:val="0"/>
          <w:sz w:val="21"/>
          <w:szCs w:val="21"/>
          <w:shd w:val="clear" w:fill="FFFFFF"/>
        </w:rPr>
        <w:t>2021年1月22日，《中华人民共和国行政处罚法》由中华人民共和国第十三届全国人民代表大会常务委员会第二十五次会议于2021年1月22日修订通过，自2021年7月15日起施行。</w:t>
      </w:r>
      <w:r>
        <w:rPr>
          <w:rFonts w:hint="eastAsia" w:ascii="宋体" w:hAnsi="宋体" w:eastAsia="宋体" w:cs="宋体"/>
          <w:color w:val="333333"/>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82" w:firstLineChars="200"/>
        <w:jc w:val="center"/>
        <w:textAlignment w:val="auto"/>
        <w:rPr>
          <w:rFonts w:hint="eastAsia" w:ascii="宋体" w:hAnsi="宋体" w:eastAsia="宋体" w:cs="宋体"/>
          <w:color w:val="333333"/>
          <w:sz w:val="24"/>
          <w:szCs w:val="24"/>
        </w:rPr>
      </w:pPr>
      <w:r>
        <w:rPr>
          <w:rFonts w:hint="eastAsia" w:ascii="宋体" w:hAnsi="宋体" w:eastAsia="宋体" w:cs="宋体"/>
          <w:b/>
          <w:i w:val="0"/>
          <w:color w:val="333333"/>
          <w:kern w:val="0"/>
          <w:sz w:val="24"/>
          <w:szCs w:val="24"/>
          <w:lang w:val="en-US" w:eastAsia="zh-CN" w:bidi="ar"/>
        </w:rPr>
        <w:t>目录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第二章　行政处罚的种类和设定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第三章　行政处罚的实施机关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第四章　行政处罚的管辖和适用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第五章　行政处罚的决定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第一节　一般规定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第二节　简易程序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第三节　普通程序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第四节　听证程序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第六章　行政处罚的执行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第七章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center"/>
        <w:rPr>
          <w:rFonts w:hint="eastAsia" w:eastAsia="宋体"/>
          <w:b/>
          <w:bCs/>
          <w:i w:val="0"/>
          <w:caps w:val="0"/>
          <w:color w:val="333333"/>
          <w:spacing w:val="0"/>
          <w:sz w:val="27"/>
          <w:szCs w:val="27"/>
          <w:bdr w:val="none" w:color="auto" w:sz="0" w:space="0"/>
          <w:shd w:val="clear" w:fill="FFFFFF"/>
          <w:lang w:eastAsia="zh-CN"/>
        </w:rPr>
      </w:pPr>
      <w:bookmarkStart w:id="0" w:name="2_2"/>
      <w:bookmarkEnd w:id="0"/>
      <w:bookmarkStart w:id="1" w:name="sub5080095_2_2"/>
      <w:bookmarkEnd w:id="1"/>
      <w:bookmarkStart w:id="2" w:name="全文"/>
      <w:bookmarkEnd w:id="2"/>
      <w:bookmarkStart w:id="3" w:name="2-2"/>
      <w:bookmarkEnd w:id="3"/>
      <w:r>
        <w:rPr>
          <w:rFonts w:hint="eastAsia" w:eastAsia="宋体"/>
          <w:b/>
          <w:bCs/>
          <w:i w:val="0"/>
          <w:caps w:val="0"/>
          <w:color w:val="333333"/>
          <w:spacing w:val="0"/>
          <w:sz w:val="27"/>
          <w:szCs w:val="27"/>
          <w:bdr w:val="none" w:color="auto" w:sz="0" w:space="0"/>
          <w:shd w:val="clear" w:fill="FFFFFF"/>
          <w:lang w:eastAsia="zh-CN"/>
        </w:rPr>
        <w:t>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为了规范行政处罚的设定和实施，保障和监督行政机关有效实施行政管理，维护公共利益和社会秩序，保护公民、法人或者其他组织的合法权益，根据宪法，制定本法。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行政处罚是指行政机关依法对违反行政管理秩序的公民、法人或者其他组织，以减损权益或者增加义务的方式予以惩戒的行为。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行政处罚的设定和实施，适用本法。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公民、法人或者其他组织违反行政管理秩序的行为，应当给予行政处罚的，依照本法由法律、法规、规章规定，并由行政机关依照本法规定的程序实施。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行政处罚遵循公正、公开的原则。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设定和实施行政处罚必须以事实为依据，与违法行为的事实、性质、情节以及社会危害程度相当。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对违法行为给予行政处罚的规定必须公布；未经公布的，不得作为行政处罚的依据。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实施行政处罚，纠正违法行为，应当坚持处罚与教育相结合，教育公民、法人或者其他组织自觉守法。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公民、法人或者其他组织对行政机关所给予的行政处罚，享有陈述权、申辩权；对行政处罚不服的，有权依法申请行政复议或者提起行政诉讼。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公民、法人或者其他组织因行政机关违法给予行政处罚受到损害的，有权依法提出赔偿要求。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公民、法人或者其他组织因违法行为受到行政处罚，其违法行为对他人造成损害的，应当依法承担民事责任。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违法行为构成犯罪，应当依法追究刑事责任的，不得以行政处罚代替刑事处罚。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第二章　行政处罚的种类和设定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行政处罚的种类：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（一）警告、通报批评；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（二）罚款、没收违法所得、没收非法财物；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（三）暂扣许可证件、降低资质等级、吊销许可证件；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（四）限制开展生产经营活动、责令停产停业、责令关闭、限制从业；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（五）行政拘留；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（六）法律、行政法规规定的其他行政处罚。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法律可以设定各种行政处罚。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限制人身自由的行政处罚，只能由法律设定。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行政法规可以设定除限制人身自由以外的行政处罚。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法律对违法行为已经作出行政处罚规定，行政法规需要作出具体规定的，必须在法律规定的给予行政处罚的行为、种类和幅度的范围内规定。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地方性法规可以设定除限制人身自由、吊销营业执照以外的行政处罚。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法律、行政法规对违法行为已经作出行政处罚规定，地方性法规需要作出具体规定的，必须在法律、行政法规规定的给予行政处罚的行为、种类和幅度的范围内规定。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国务院部门规章可以在法律、行政法规规定的给予行政处罚的行为、种类和幅度的范围内作出具体规定。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尚未制定法律、行政法规的，国务院部门规章对违反行政管理秩序的行为，可以设定警告、通报批评或者一定数额罚款的行政处罚。罚款的限额由国务院规定。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地方政府规章可以在法律、法规规定的给予行政处罚的行为、种类和幅度的范围内作出具体规定。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尚未制定法律、法规的，地方政府规章对违反行政管理秩序的行为，可以设定警告、通报批评或者一定数额罚款的行政处罚。罚款的限额由省、自治区、直辖市人民代表大会常务委员会规定。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国务院部门和省、自治区、直辖市人民政府及其有关部门应当定期组织评估行政处罚的实施情况和必要性，对不适当的行政处罚事项及种类、罚款数额等，应当提出修改或者废止的建议。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除法律、法规、规章外，其他规范性文件不得设定行政处罚。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第三章　行政处罚的实施机关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行政处罚由具有行政处罚权的行政机关在法定职权范围内实施。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国家在城市管理、市场监管、生态环境、文化市场、交通运输、应急管理、农业等领域推行建立综合行政执法制度，相对集中行政处罚权。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国务院或者省、自治区、直辖市人民政府可以决定一个行政机关行使有关行政机关的行政处罚权。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限制人身自由的行政处罚权只能由公安机关和法律规定的其他机关行使。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法律、法规授权的具有管理公共事务职能的组织可以在法定授权范围内实施行政处罚。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行政机关依照法律、法规、规章的规定，可以在其法定权限内书面委托符合本法第二十一条规定条件的组织实施行政处罚。行政机关不得委托其他组织或者个人实施行政处罚。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委托书应当载明委托的具体事项、权限、期限等内容。委托行政机关和受委托组织应当将委托书向社会公布。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委托行政机关对受委托组织实施行政处罚的行为应当负责监督，并对该行为的后果承担法律责任。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受委托组织在委托范围内，以委托行政机关名义实施行政处罚；不得再委托其他组织或者个人实施行政处罚。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受委托组织必须符合以下条件：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（一）依法成立并具有管理公共事务职能；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（二）有熟悉有关法律、法规、规章和业务并取得行政执法资格的工作人员；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（三）需要进行技术检查或者技术鉴定的，应当有条件组织进行相应的技术检查或者技术鉴定。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第四章　行政处罚的管辖和适用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行政处罚由违法行为发生地的行政机关管辖。法律、行政法规、部门规章另有规定的，从其规定。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行政处罚由县级以上地方人民政府具有行政处罚权的行政机关管辖。法律、行政法规另有规定的，从其规定。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承接行政处罚权的乡镇人民政府、街道办事处应当加强执法能力建设，按照规定范围、依照法定程序实施行政处罚。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有关地方人民政府及其部门应当加强组织协调、业务指导、执法监督，建立健全行政处罚协调配合机制，完善评议、考核制度。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两个以上行政机关都有管辖权的，由最先立案的行政机关管辖。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对管辖发生争议的，应当协商解决，协商不成的，报请共同的上一级行政机关指定管辖；也可以直接由共同的上一级行政机关指定管辖。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行政机关因实施行政处罚的需要，可以向有关机关提出协助请求。协助事项属于被请求机关职权范围内的，应当依法予以协助。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行政处罚实施机关与司法机关之间应当加强协调配合，建立健全案件移送制度，加强证据材料移交、接收衔接，完善案件处理信息通报机制。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行政机关实施行政处罚时，应当责令当事人改正或者限期改正违法行为。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对当事人的同一个违法行为，不得给予两次以上罚款的行政处罚。同一个违法行为违反多个法律规范应当给予罚款处罚的，按照罚款数额高的规定处罚。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当事人有下列情形之一，应当从轻或者减轻行政处罚：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（一）主动消除或者减轻违法行为危害后果的；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（二）受他人胁迫或者诱骗实施违法行为的；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（三）主动供述行政机关尚未掌握的违法行为的；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（四）配合行政机关查处违法行为有立功表现的；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（五）法律、法规、规章规定其他应当从轻或者减轻行政处罚的。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当事人有证据足以证明没有主观过错的，不予行政处罚。法律、行政法规另有规定的，从其规定。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对当事人的违法行为依法不予行政处罚的，行政机关应当对当事人进行教育。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行政机关可以依法制定行政处罚裁量基准，规范行使行政处罚裁量权。行政处罚裁量基准应当向社会公布。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违法行为构成犯罪，人民法院判处拘役或者有期徒刑时，行政机关已经给予当事人行政拘留的，应当依法折抵相应刑期。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违法行为构成犯罪，人民法院判处罚金时，行政机关已经给予当事人罚款的，应当折抵相应罚金；行政机关尚未给予当事人罚款的，不再给予罚款。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违法行为在二年内未被发现的，不再给予行政处罚；涉及公民生命健康安全、金融安全且有危害后果的，上述期限延长至五年。法律另有规定的除外。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前款规定的期限，从违法行为发生之日起计算；违法行为有连续或者继续状态的，从行为终了之日起计算。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行政处罚没有依据或者实施主体不具有行政主体资格的，行政处罚无效。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违反法定程序构成重大且明显违法的，行政处罚无效。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第五章　行政处罚的决定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第一节　一般规定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行政处罚的实施机关、立案依据、实施程序和救济渠道等信息应当公示。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　公民、法人或者其他组织违反行政管理秩序的行为，依法应当给予行政处罚的，行政机关必须查明事实；违法事实不清、证据不足的，不得给予行政处罚。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　行政处罚应当由具有行政执法资格的执法人员实施。执法人员不得少于两人，法律另有规定的除外。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执法人员应当文明执法，尊重和保护当事人合法权益。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执法人员与案件有直接利害关系或者有其他关系可能影响公正执法的，应当回避。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当事人认为执法人员与案件有直接利害关系或者有其他关系可能影响公正执法的，有权申请回避。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当事人提出回避申请的，行政机关应当依法审查，由行政机关负责人决定。决定作出之前，不停止调查。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行政机关不得因当事人陈述、申辩而给予更重的处罚。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证据包括：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（一）书证；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（二）物证；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（三）视听资料；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（四）电子数据；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（五）证人证言；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（六）当事人的陈述；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（七）鉴定意见；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（八）勘验笔录、现场笔录。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证据必须经查证属实，方可作为认定案件事实的根据。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以非法手段取得的证据，不得作为认定案件事实的根据。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行政机关应当依法以文字、音像等形式，对行政处罚的启动、调查取证、审核、决定、送达、执行等进行全过程记录，归档保存。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　具有一定社会影响的行政处罚决定应当依法公开。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公开的行政处罚决定被依法变更、撤销、确认违法或者确认无效的，行政机关应当在三日内撤回行政处罚决定信息并公开说明理由。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　发生重大传染病疫情等突发事件，为了控制、减轻和消除突发事件引起的社会危害，行政机关对违反突发事件应对措施的行为，依法快速、从重处罚。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　行政机关及其工作人员对实施行政处罚过程中知悉的国家秘密、商业秘密或者个人隐私，应当依法予以保密。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第二节　简易程序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执法人员当场作出的行政处罚决定，应当报所属行政机关备案。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第五十三条　对当场作出的行政处罚决定，当事人应当依照本法第六十七条至第六十九条的规定履行。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第三节　普通程序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符合立案标准的，行政机关应当及时立案。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当事人或者有关人员应当如实回答询问，并协助调查或者检查，不得拒绝或者阻挠。询问或者检查应当制作笔录。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第五十七条　调查终结，行政机关负责人应当对调查结果进行审查，根据不同情况，分别作出如下决定：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（一）确有应受行政处罚的违法行为的，根据情节轻重及具体情况，作出行政处罚决定；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（二）违法行为轻微，依法可以不予行政处罚的，不予行政处罚；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（三）违法事实不能成立的，不予行政处罚；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（四）违法行为涉嫌犯罪的，移送司法机关。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对情节复杂或者重大违法行为给予行政处罚，行政机关负责人应当集体讨论决定。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第五十八条　有下列情形之一，在行政机关负责人作出行政处罚的决定之前，应当由从事行政处罚决定法制审核的人员进行法制审核；未经法制审核或者审核未通过的，不得作出决定：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（一）涉及重大公共利益的；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（二）直接关系当事人或者第三人重大权益，经过听证程序的；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（三）案件情况疑难复杂、涉及多个法律关系的；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（四）法律、法规规定应当进行法制审核的其他情形。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行政机关中初次从事行政处罚决定法制审核的人员，应当通过国家统一法律职业资格考试取得法律职业资格。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第五十九条　行政机关依照本法第五十七条的规定给予行政处罚，应当制作行政处罚决定书。行政处罚决定书应当载明下列事项：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（一）当事人的姓名或者名称、地址；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（二）违反法律、法规、规章的事实和证据；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（三）行政处罚的种类和依据；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（四）行政处罚的履行方式和期限；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（五）申请行政复议、提起行政诉讼的途径和期限；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（六）作出行政处罚决定的行政机关名称和作出决定的日期。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行政处罚决定书必须盖有作出行政处罚决定的行政机关的印章。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第六十条　行政机关应当自行政处罚案件立案之日起九十日内作出行政处罚决定。法律、法规、规章另有规定的，从其规定。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当事人同意并签订确认书的，行政机关可以采用传真、电子邮件等方式，将行政处罚决定书等送达当事人。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（一）较大数额罚款；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（二）没收较大数额违法所得、没收较大价值非法财物；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（三）降低资质等级、吊销许可证件；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（四）责令停产停业、责令关闭、限制从业；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（五）其他较重的行政处罚；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（六）法律、法规、规章规定的其他情形。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当事人不承担行政机关组织听证的费用。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第六十四条　听证应当依照以下程序组织：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（一）当事人要求听证的，应当在行政机关告知后五日内提出；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（二）行政机关应当在举行听证的七日前，通知当事人及有关人员听证的时间、地点；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（三）除涉及国家秘密、商业秘密或者个人隐私依法予以保密外，听证公开举行；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（四）听证由行政机关指定的非本案调查人员主持；当事人认为主持人与本案有直接利害关系的，有权申请回避；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（五）当事人可以亲自参加听证，也可以委托一至二人代理；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（六）当事人及其代理人无正当理由拒不出席听证或者未经许可中途退出听证的，视为放弃听证权利，行政机关终止听证；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（七）举行听证时，调查人员提出当事人违法的事实、证据和行政处罚建议，当事人进行申辩和质证；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（八）听证应当制作笔录。笔录应当交当事人或者其代理人核对无误后签字或者盖章。当事人或者其代理人拒绝签字或者盖章的，由听证主持人在笔录中注明。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第六十五条　听证结束后，行政机关应当根据听证笔录，依照本法第五十七条的规定，作出决定。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第六章　行政处罚的执行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第六十六条　行政处罚决定依法作出后，当事人应当在行政处罚决定书载明的期限内，予以履行。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当事人确有经济困难，需要延期或者分期缴纳罚款的，经当事人申请和行政机关批准，可以暂缓或者分期缴纳。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第六十七条　作出罚款决定的行政机关应当与收缴罚款的机构分离。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除依照本法第六十八条、第六十九条的规定当场收缴的罚款外，作出行政处罚决定的行政机关及其执法人员不得自行收缴罚款。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当事人应当自收到行政处罚决定书之日起十五日内，到指定的银行或者通过电子支付系统缴纳罚款。银行应当收受罚款，并将罚款直接上缴国库。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第六十八条　依照本法第五十一条的规定当场作出行政处罚决定，有下列情形之一，执法人员可以当场收缴罚款：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（一）依法给予一百元以下罚款的；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（二）不当场收缴事后难以执行的。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第七十一条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第七十二条　当事人逾期不履行行政处罚决定的，作出行政处罚决定的行政机关可以采取下列措施：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（一）到期不缴纳罚款的，每日按罚款数额的百分之三加处罚款，加处罚款的数额不得超出罚款的数额；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（二）根据法律规定，将查封、扣押的财物拍卖、依法处理或者将冻结的存款、汇款划拨抵缴罚款；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（三）根据法律规定，采取其他行政强制执行方式；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（四）依照《中华人民共和国行政强制法》的规定申请人民法院强制执行。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行政机关批准延期、分期缴纳罚款的，申请人民法院强制执行的期限，自暂缓或者分期缴纳罚款期限结束之日起计算。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第七十三条　当事人对行政处罚决定不服，申请行政复议或者提起行政诉讼的，行政处罚不停止执行，法律另有规定的除外。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当事人对限制人身自由的行政处罚决定不服，申请行政复议或者提起行政诉讼的，可以向作出决定的机关提出暂缓执行申请。符合法律规定情形的，应当暂缓执行。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当事人申请行政复议或者提起行政诉讼的，加处罚款的数额在行政复议或者行政诉讼期间不予计算。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第七十四条　除依法应当予以销毁的物品外，依法没收的非法财物必须按照国家规定公开拍卖或者按照国家有关规定处理。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罚款、没收的违法所得或者没收非法财物拍卖的款项，必须全部上缴国库，任何行政机关或者个人不得以任何形式截留、私分或者变相私分。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第七十五条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（一）没有法定的行政处罚依据的；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（二）擅自改变行政处罚种类、幅度的；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（三）违反法定的行政处罚程序的；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（四）违反本法第二十条关于委托处罚的规定的；</w:t>
      </w:r>
      <w:bookmarkStart w:id="4" w:name="_GoBack"/>
      <w:bookmarkEnd w:id="4"/>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（五）执法人员未取得执法证件的。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行政机关对符合立案标准的案件不及时立案的，依照前款规定予以处理。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执法人员利用职务上的便利，索取或者收受他人财物、将收缴罚款据为己有，构成犯罪的，依法追究刑事责任；情节轻微不构成犯罪的，依法给予处分。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第八十条　行政机关使用或者损毁查封、扣押的财物，对当事人造成损失的，应当依法予以赔偿，对直接负责的主管人员和其他直接责任人员依法给予处分。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第八十四条　外国人、无国籍人、外国组织在中华人民共和国领域内有违法行为，应当给予行政处罚的，适用本法，法律另有规定的除外。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第八十五条　本法中“二日”“三日”“五日”“七日”的规定是指工作日，不含法定节假日。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第八十六条　本法自2021年7月15日起施行。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03880"/>
    <w:rsid w:val="45560736"/>
    <w:rsid w:val="45A67B45"/>
    <w:rsid w:val="4BA0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2020-12-30T03:23:00Z</dcterms:created>
  <dc:creator>玲俐</dc:creator>
  <cp:lastModifiedBy>玲俐</cp:lastModifiedBy>
  <dcterms:modified xsi:type="dcterms:W3CDTF">2021-03-29T03:07:08Z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